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5000" w:type="pct"/>
        <w:jc w:val="center"/>
        <w:tblBorders>
          <w:top w:val="single" w:sz="3" w:space="0" w:color="000000"/>
          <w:left w:val="single" w:sz="3" w:space="0" w:color="000000"/>
          <w:bottom w:val="single" w:sz="3" w:space="0" w:color="000000"/>
          <w:right w:val="single" w:sz="3" w:space="0" w:color="000000"/>
        </w:tblBorders>
        <w:tblLayout w:type="fixed"/>
        <w:tblCellMar>
          <w:left w:w="28" w:type="dxa"/>
          <w:right w:w="28" w:type="dxa"/>
        </w:tblCellMar>
        <w:tblLook w:val="04A0" w:firstRow="1" w:lastRow="0" w:firstColumn="1" w:lastColumn="0" w:noHBand="0" w:noVBand="1"/>
      </w:tblPr>
      <w:tblGrid>
        <w:gridCol w:w="1712"/>
        <w:gridCol w:w="2402"/>
        <w:gridCol w:w="1212"/>
        <w:gridCol w:w="977"/>
        <w:gridCol w:w="741"/>
        <w:gridCol w:w="453"/>
        <w:gridCol w:w="945"/>
        <w:gridCol w:w="1174"/>
      </w:tblGrid>
      <w:tr w:rsidR="00622CFE" w:rsidRPr="004C701A" w14:paraId="5F7C050B" w14:textId="77777777" w:rsidTr="00862E3E">
        <w:trPr>
          <w:trHeight w:val="20"/>
          <w:jc w:val="center"/>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208AA5B1" w14:textId="77777777" w:rsidR="005C6A91" w:rsidRPr="004C701A" w:rsidRDefault="005C6A91" w:rsidP="005C6A91">
            <w:pPr>
              <w:pStyle w:val="a3"/>
              <w:wordWrap/>
              <w:spacing w:line="240" w:lineRule="auto"/>
              <w:jc w:val="center"/>
              <w:rPr>
                <w:rFonts w:asciiTheme="majorHAnsi" w:eastAsiaTheme="majorHAnsi" w:hAnsiTheme="majorHAnsi"/>
                <w:sz w:val="18"/>
                <w:szCs w:val="22"/>
              </w:rPr>
            </w:pPr>
            <w:bookmarkStart w:id="0" w:name="_top"/>
            <w:bookmarkEnd w:id="0"/>
            <w:r w:rsidRPr="004C701A">
              <w:rPr>
                <w:rFonts w:asciiTheme="majorHAnsi" w:eastAsiaTheme="majorHAnsi" w:hAnsiTheme="majorHAnsi"/>
                <w:noProof/>
                <w:sz w:val="18"/>
                <w:szCs w:val="22"/>
              </w:rPr>
              <w:drawing>
                <wp:inline distT="0" distB="0" distL="0" distR="0" wp14:anchorId="531071FA" wp14:editId="38F1562B">
                  <wp:extent cx="885190" cy="590550"/>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4ae03b7b.JPG"/>
                          <pic:cNvPicPr/>
                        </pic:nvPicPr>
                        <pic:blipFill rotWithShape="1">
                          <a:blip r:embed="rId5"/>
                          <a:srcRect b="21052"/>
                          <a:stretch>
                            <a:fillRect/>
                          </a:stretch>
                        </pic:blipFill>
                        <pic:spPr bwMode="auto">
                          <a:xfrm>
                            <a:off x="0" y="0"/>
                            <a:ext cx="885190" cy="590550"/>
                          </a:xfrm>
                          <a:prstGeom prst="rect">
                            <a:avLst/>
                          </a:prstGeom>
                          <a:ln>
                            <a:noFill/>
                          </a:ln>
                          <a:effectLst/>
                          <a:extLst>
                            <a:ext uri="{53640926-AAD7-44D8-BBD7-CCE9431645EC}">
                              <a14:shadowObscured xmlns:a14="http://schemas.microsoft.com/office/drawing/2010/main"/>
                            </a:ext>
                          </a:extLst>
                        </pic:spPr>
                      </pic:pic>
                    </a:graphicData>
                  </a:graphic>
                </wp:inline>
              </w:drawing>
            </w:r>
          </w:p>
          <w:p w14:paraId="5F7C0506" w14:textId="6B8ED16D" w:rsidR="00622CFE" w:rsidRPr="004C701A" w:rsidRDefault="005C6A91" w:rsidP="005C6A91">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b/>
                <w:bCs/>
                <w:sz w:val="22"/>
                <w:szCs w:val="32"/>
              </w:rPr>
              <w:t>Gyeongsangbuk-do</w:t>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5F7C0507" w14:textId="0096EE98" w:rsidR="00622CFE" w:rsidRPr="004C701A" w:rsidRDefault="00862E3E" w:rsidP="000809BC">
            <w:pPr>
              <w:pStyle w:val="a3"/>
              <w:wordWrap/>
              <w:spacing w:line="240" w:lineRule="auto"/>
              <w:jc w:val="center"/>
              <w:rPr>
                <w:rFonts w:asciiTheme="majorHAnsi" w:eastAsiaTheme="majorHAnsi" w:hAnsiTheme="majorHAnsi"/>
                <w:b/>
                <w:bCs/>
                <w:sz w:val="44"/>
                <w:szCs w:val="56"/>
              </w:rPr>
            </w:pPr>
            <w:r w:rsidRPr="004C701A">
              <w:rPr>
                <w:rFonts w:asciiTheme="majorHAnsi" w:eastAsiaTheme="majorHAnsi" w:hAnsiTheme="majorHAnsi"/>
                <w:b/>
                <w:bCs/>
                <w:noProof/>
                <w:sz w:val="44"/>
                <w:szCs w:val="56"/>
              </w:rPr>
              <w:t>Press Release</w:t>
            </w:r>
          </w:p>
          <w:p w14:paraId="5F7C0508"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8"/>
                <w:szCs w:val="22"/>
              </w:rPr>
              <w:t>【April 13, 2026 (Mon)】</w:t>
            </w:r>
          </w:p>
        </w:tc>
        <w:tc>
          <w:tcPr>
            <w:tcW w:w="1203" w:type="dxa"/>
            <w:tcBorders>
              <w:top w:val="single" w:sz="9" w:space="0" w:color="000000"/>
              <w:left w:val="double" w:sz="4" w:space="0" w:color="000000"/>
              <w:bottom w:val="single" w:sz="3" w:space="0" w:color="000000"/>
              <w:right w:val="single" w:sz="5" w:space="0" w:color="000000"/>
            </w:tcBorders>
            <w:vAlign w:val="center"/>
          </w:tcPr>
          <w:p w14:paraId="5F7C0509"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Division in Charge</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5F7C050A"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New Consolidated Airport Investment Office, Division of Investment Promotion</w:t>
            </w:r>
          </w:p>
        </w:tc>
      </w:tr>
      <w:tr w:rsidR="00622CFE" w:rsidRPr="004C701A" w14:paraId="5F7C0511" w14:textId="77777777" w:rsidTr="00862E3E">
        <w:trPr>
          <w:trHeight w:val="20"/>
          <w:jc w:val="center"/>
        </w:trPr>
        <w:tc>
          <w:tcPr>
            <w:tcW w:w="1699" w:type="dxa"/>
            <w:vMerge/>
            <w:tcBorders>
              <w:top w:val="single" w:sz="9" w:space="0" w:color="000000"/>
              <w:left w:val="single" w:sz="9" w:space="0" w:color="000000"/>
              <w:bottom w:val="single" w:sz="9" w:space="0" w:color="000000"/>
              <w:right w:val="single" w:sz="5" w:space="0" w:color="000000"/>
            </w:tcBorders>
          </w:tcPr>
          <w:p w14:paraId="5F7C050C"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5F7C050D"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5F7C050E" w14:textId="313E0FC3"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Author</w:t>
            </w:r>
          </w:p>
        </w:tc>
        <w:tc>
          <w:tcPr>
            <w:tcW w:w="970" w:type="dxa"/>
            <w:tcBorders>
              <w:top w:val="single" w:sz="3" w:space="0" w:color="000000"/>
              <w:left w:val="single" w:sz="5" w:space="0" w:color="000000"/>
              <w:bottom w:val="single" w:sz="3" w:space="0" w:color="000000"/>
              <w:right w:val="single" w:sz="3" w:space="0" w:color="000000"/>
            </w:tcBorders>
            <w:vAlign w:val="center"/>
          </w:tcPr>
          <w:p w14:paraId="5F7C050F" w14:textId="3397763B"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Director</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5F7C0510" w14:textId="62E36889"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Shin Seung-hoon</w:t>
            </w:r>
          </w:p>
        </w:tc>
      </w:tr>
      <w:tr w:rsidR="00622CFE" w:rsidRPr="004C701A" w14:paraId="5F7C0519" w14:textId="77777777" w:rsidTr="00862E3E">
        <w:trPr>
          <w:trHeight w:val="20"/>
          <w:jc w:val="center"/>
        </w:trPr>
        <w:tc>
          <w:tcPr>
            <w:tcW w:w="1699" w:type="dxa"/>
            <w:vMerge/>
            <w:tcBorders>
              <w:top w:val="single" w:sz="9" w:space="0" w:color="000000"/>
              <w:left w:val="single" w:sz="9" w:space="0" w:color="000000"/>
              <w:bottom w:val="single" w:sz="9" w:space="0" w:color="000000"/>
              <w:right w:val="single" w:sz="5" w:space="0" w:color="000000"/>
            </w:tcBorders>
          </w:tcPr>
          <w:p w14:paraId="5F7C0512"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5F7C0513"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1203" w:type="dxa"/>
            <w:vMerge/>
            <w:tcBorders>
              <w:top w:val="single" w:sz="3" w:space="0" w:color="000000"/>
              <w:left w:val="double" w:sz="4" w:space="0" w:color="000000"/>
              <w:bottom w:val="single" w:sz="3" w:space="0" w:color="000000"/>
              <w:right w:val="single" w:sz="5" w:space="0" w:color="000000"/>
            </w:tcBorders>
          </w:tcPr>
          <w:p w14:paraId="5F7C0514"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5F7C0515" w14:textId="549F90D8"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Team Leader</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5F7C0516"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Jeon Jin-young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5F7C0517"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Senior Officer</w:t>
            </w:r>
          </w:p>
        </w:tc>
        <w:tc>
          <w:tcPr>
            <w:tcW w:w="1166" w:type="dxa"/>
            <w:tcBorders>
              <w:top w:val="single" w:sz="3" w:space="0" w:color="000000"/>
              <w:left w:val="single" w:sz="3" w:space="0" w:color="000000"/>
              <w:bottom w:val="single" w:sz="3" w:space="0" w:color="000000"/>
              <w:right w:val="single" w:sz="9" w:space="0" w:color="000000"/>
            </w:tcBorders>
            <w:vAlign w:val="center"/>
          </w:tcPr>
          <w:p w14:paraId="5F7C0518"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Lee Jin-young</w:t>
            </w:r>
          </w:p>
        </w:tc>
      </w:tr>
      <w:tr w:rsidR="00622CFE" w:rsidRPr="004C701A" w14:paraId="5F7C0520" w14:textId="77777777" w:rsidTr="00862E3E">
        <w:trPr>
          <w:trHeight w:val="20"/>
          <w:jc w:val="center"/>
        </w:trPr>
        <w:tc>
          <w:tcPr>
            <w:tcW w:w="1699" w:type="dxa"/>
            <w:vMerge/>
            <w:tcBorders>
              <w:top w:val="single" w:sz="9" w:space="0" w:color="000000"/>
              <w:left w:val="single" w:sz="9" w:space="0" w:color="000000"/>
              <w:bottom w:val="single" w:sz="9" w:space="0" w:color="000000"/>
              <w:right w:val="single" w:sz="5" w:space="0" w:color="000000"/>
            </w:tcBorders>
          </w:tcPr>
          <w:p w14:paraId="5F7C051A"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2385" w:type="dxa"/>
            <w:vMerge/>
            <w:tcBorders>
              <w:top w:val="single" w:sz="9" w:space="0" w:color="000000"/>
              <w:left w:val="single" w:sz="5" w:space="0" w:color="000000"/>
              <w:bottom w:val="single" w:sz="9" w:space="0" w:color="000000"/>
              <w:right w:val="double" w:sz="4" w:space="0" w:color="000000"/>
            </w:tcBorders>
          </w:tcPr>
          <w:p w14:paraId="5F7C051B" w14:textId="77777777" w:rsidR="00622CFE" w:rsidRPr="004C701A" w:rsidRDefault="00622CFE" w:rsidP="000809BC">
            <w:pPr>
              <w:pStyle w:val="a3"/>
              <w:wordWrap/>
              <w:spacing w:line="240" w:lineRule="auto"/>
              <w:rPr>
                <w:rFonts w:asciiTheme="majorHAnsi" w:eastAsiaTheme="majorHAnsi" w:hAnsiTheme="majorHAnsi"/>
                <w:sz w:val="18"/>
                <w:szCs w:val="22"/>
              </w:rPr>
            </w:pPr>
          </w:p>
        </w:tc>
        <w:tc>
          <w:tcPr>
            <w:tcW w:w="1203" w:type="dxa"/>
            <w:tcBorders>
              <w:top w:val="single" w:sz="3" w:space="0" w:color="000000"/>
              <w:left w:val="double" w:sz="4" w:space="0" w:color="000000"/>
              <w:bottom w:val="single" w:sz="9" w:space="0" w:color="000000"/>
              <w:right w:val="single" w:sz="5" w:space="0" w:color="000000"/>
            </w:tcBorders>
            <w:vAlign w:val="center"/>
          </w:tcPr>
          <w:p w14:paraId="5F7C051C" w14:textId="60DA590F"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Contact Information</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5F7C051D"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5F7C051E"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5F7C051F"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sz w:val="24"/>
                <w:szCs w:val="22"/>
              </w:rPr>
              <w:t>+82-10-4936-2391</w:t>
            </w:r>
          </w:p>
        </w:tc>
      </w:tr>
    </w:tbl>
    <w:p w14:paraId="5F7C0521" w14:textId="77777777" w:rsidR="00622CFE" w:rsidRPr="004C701A" w:rsidRDefault="00622CFE" w:rsidP="000809BC">
      <w:pPr>
        <w:pStyle w:val="a3"/>
        <w:wordWrap/>
        <w:spacing w:line="240" w:lineRule="auto"/>
        <w:rPr>
          <w:rFonts w:asciiTheme="majorHAnsi" w:eastAsiaTheme="majorHAnsi" w:hAnsiTheme="majorHAnsi"/>
          <w:sz w:val="18"/>
          <w:szCs w:val="22"/>
        </w:rPr>
      </w:pPr>
    </w:p>
    <w:tbl>
      <w:tblPr>
        <w:tblOverlap w:val="never"/>
        <w:tblW w:w="5000" w:type="pct"/>
        <w:jc w:val="center"/>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638"/>
      </w:tblGrid>
      <w:tr w:rsidR="00622CFE" w:rsidRPr="004C701A" w14:paraId="5F7C0526" w14:textId="77777777" w:rsidTr="0037067E">
        <w:trPr>
          <w:trHeight w:val="2034"/>
          <w:jc w:val="center"/>
        </w:trPr>
        <w:tc>
          <w:tcPr>
            <w:tcW w:w="9582" w:type="dxa"/>
            <w:tcBorders>
              <w:top w:val="single" w:sz="11" w:space="0" w:color="0000FF"/>
              <w:left w:val="none" w:sz="2" w:space="0" w:color="FFFFFF"/>
              <w:bottom w:val="single" w:sz="23" w:space="0" w:color="3366FF"/>
              <w:right w:val="none" w:sz="2" w:space="0" w:color="FFFFFF"/>
            </w:tcBorders>
            <w:vAlign w:val="center"/>
          </w:tcPr>
          <w:p w14:paraId="5F7C0523" w14:textId="06F63FCF" w:rsidR="00622CFE" w:rsidRPr="004C701A" w:rsidRDefault="00D93ABA" w:rsidP="00862E3E">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b/>
                <w:bCs/>
                <w:sz w:val="44"/>
                <w:szCs w:val="22"/>
              </w:rPr>
              <w:t>Gyeongsangbuk-do Launches "Grand Journey of Global Investment" in Shanghai, the Heart of China's Economy</w:t>
            </w:r>
          </w:p>
          <w:p w14:paraId="5F7C0524"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b/>
                <w:bCs/>
                <w:sz w:val="28"/>
                <w:szCs w:val="22"/>
              </w:rPr>
              <w:t>- Experts from China's finance, capital, and platform sectors participate, spotlighting the strategic value of investing in Korea and Gyeongsangbuk-do -</w:t>
            </w:r>
          </w:p>
          <w:p w14:paraId="5F7C0525" w14:textId="77777777" w:rsidR="00622CFE" w:rsidRPr="004C701A" w:rsidRDefault="00D93ABA" w:rsidP="000809BC">
            <w:pPr>
              <w:pStyle w:val="a3"/>
              <w:wordWrap/>
              <w:spacing w:line="240" w:lineRule="auto"/>
              <w:jc w:val="center"/>
              <w:rPr>
                <w:rFonts w:asciiTheme="majorHAnsi" w:eastAsiaTheme="majorHAnsi" w:hAnsiTheme="majorHAnsi"/>
                <w:sz w:val="18"/>
                <w:szCs w:val="22"/>
              </w:rPr>
            </w:pPr>
            <w:r w:rsidRPr="004C701A">
              <w:rPr>
                <w:rFonts w:asciiTheme="majorHAnsi" w:eastAsiaTheme="majorHAnsi" w:hAnsiTheme="majorHAnsi"/>
                <w:b/>
                <w:bCs/>
                <w:sz w:val="28"/>
                <w:szCs w:val="22"/>
              </w:rPr>
              <w:t>- MOU on investment cooperation signed with four Chinese high-tech companies in the semiconductors, machine vision, and sensors fields -</w:t>
            </w:r>
          </w:p>
        </w:tc>
      </w:tr>
    </w:tbl>
    <w:p w14:paraId="5F7C0527" w14:textId="77777777" w:rsidR="00622CFE" w:rsidRPr="004C701A" w:rsidRDefault="00622CFE" w:rsidP="000809BC">
      <w:pPr>
        <w:pStyle w:val="a3"/>
        <w:wordWrap/>
        <w:spacing w:line="240" w:lineRule="auto"/>
        <w:jc w:val="center"/>
        <w:rPr>
          <w:rFonts w:asciiTheme="majorHAnsi" w:eastAsiaTheme="majorHAnsi" w:hAnsiTheme="majorHAnsi"/>
          <w:sz w:val="18"/>
          <w:szCs w:val="22"/>
        </w:rPr>
      </w:pPr>
    </w:p>
    <w:p w14:paraId="5F7C0528"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Gyeongsangbuk-do Province hosted a large-scale investment forum in Shanghai, the heart of China's economy, marking an aggressive step to expand its global business reach. The provincial government announced that, beginning on the 13th, it will hold the "Korea-China Industrial Cooperation Forum and Gyeongbuk Investment Briefing" in Shanghai, mounting an all-out investment promotion campaign to solidify its position as a Northeast Asian economic hub amid the ongoing global supply chain realignment.</w:t>
      </w:r>
    </w:p>
    <w:p w14:paraId="5F7C0529"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2A"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The event was hosted by Gyeongsangbuk-do Province and its cities and counties, and organized by the Gyeongbuk Economic Promotion Agency (GEPA). About 100 participants attended, including Kim Ki-hwan, Consul at the Consulate General of the Republic of Korea in Shanghai, as well as other government officials from both countries, experts from universities and research institutions, corporate executives, representatives of investment institutions, and journalists. The event was part of the provincial government's large-scale overseas investment promotion strategy to attract promising companies in the greater Shanghai region and those seeking global supply chain cooperation to Gyeongsangbuk-do Province.</w:t>
      </w:r>
    </w:p>
    <w:p w14:paraId="5F7C052B"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2C"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 Expert Roundtable Validates the "Strategic Value" of Investing in Korea</w:t>
      </w:r>
    </w:p>
    <w:p w14:paraId="5F7C052D"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2E"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Going beyond simple regional promotion, this forum brought together leading authorities from China's finance, capital markets, and platform sectors to make a case for investing in Korea.</w:t>
      </w:r>
    </w:p>
    <w:p w14:paraId="5F7C052F"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Roundtable panelists—Professor He Xiaoyu (何</w:t>
      </w:r>
      <w:r w:rsidRPr="004C701A">
        <w:rPr>
          <w:rFonts w:asciiTheme="majorHAnsi" w:eastAsia="Microsoft JhengHei" w:hAnsiTheme="majorHAnsi"/>
          <w:sz w:val="28"/>
          <w:szCs w:val="22"/>
        </w:rPr>
        <w:t>晓</w:t>
      </w:r>
      <w:r w:rsidRPr="004C701A">
        <w:rPr>
          <w:rFonts w:asciiTheme="majorHAnsi" w:eastAsiaTheme="majorHAnsi" w:hAnsiTheme="majorHAnsi"/>
          <w:sz w:val="28"/>
          <w:szCs w:val="22"/>
        </w:rPr>
        <w:t>宇) of the Central University of Finance and Economics, Jiang Mengnan (</w:t>
      </w:r>
      <w:r w:rsidRPr="004C701A">
        <w:rPr>
          <w:rFonts w:asciiTheme="majorHAnsi" w:eastAsia="Microsoft JhengHei" w:hAnsiTheme="majorHAnsi"/>
          <w:sz w:val="28"/>
          <w:szCs w:val="22"/>
        </w:rPr>
        <w:t>蒋梦</w:t>
      </w:r>
      <w:r w:rsidRPr="004C701A">
        <w:rPr>
          <w:rFonts w:asciiTheme="majorHAnsi" w:eastAsiaTheme="majorHAnsi" w:hAnsiTheme="majorHAnsi"/>
          <w:sz w:val="28"/>
          <w:szCs w:val="22"/>
        </w:rPr>
        <w:t>南), Executive Director of Vistra Tricor Group, and Guan Mengting (管</w:t>
      </w:r>
      <w:r w:rsidRPr="004C701A">
        <w:rPr>
          <w:rFonts w:asciiTheme="majorHAnsi" w:eastAsia="Microsoft JhengHei" w:hAnsiTheme="majorHAnsi"/>
          <w:sz w:val="28"/>
          <w:szCs w:val="22"/>
        </w:rPr>
        <w:t>梦</w:t>
      </w:r>
      <w:r w:rsidRPr="004C701A">
        <w:rPr>
          <w:rFonts w:asciiTheme="majorHAnsi" w:eastAsiaTheme="majorHAnsi" w:hAnsiTheme="majorHAnsi"/>
          <w:sz w:val="28"/>
          <w:szCs w:val="22"/>
        </w:rPr>
        <w:t>婷), Head of LinkedIn China—highly praised Gyeongsangbuk-do Province's investment ecosystem, stating that "Korea, and Gyeongsangbuk-do in particular, is the ideal strategic stronghold for Chinese companies seeking to enter overseas markets steadily and diversify their global supply chains."</w:t>
      </w:r>
    </w:p>
    <w:p w14:paraId="5F7C0530"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1"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 MOUs with Four High-Tech Companies… Delivering Tangible Investment Results</w:t>
      </w:r>
    </w:p>
    <w:p w14:paraId="5F7C0532"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3"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lastRenderedPageBreak/>
        <w:t>Through this forum, Gyeongsangbuk-do Province achieved the notable result of signing memoranda of understanding (MOUs) for investment cooperation with four companies in high-tech sectors that are future growth drivers, including semiconductors and smart manufacturing.</w:t>
      </w:r>
    </w:p>
    <w:p w14:paraId="5F7C0534" w14:textId="77777777" w:rsidR="00622CFE" w:rsidRPr="004C701A" w:rsidRDefault="00D93ABA" w:rsidP="000809BC">
      <w:pPr>
        <w:pStyle w:val="a3"/>
        <w:wordWrap/>
        <w:spacing w:line="240" w:lineRule="auto"/>
        <w:ind w:left="453" w:hanging="453"/>
        <w:rPr>
          <w:rFonts w:asciiTheme="majorHAnsi" w:eastAsiaTheme="majorHAnsi" w:hAnsiTheme="majorHAnsi"/>
          <w:sz w:val="18"/>
          <w:szCs w:val="22"/>
        </w:rPr>
      </w:pPr>
      <w:r w:rsidRPr="004C701A">
        <w:rPr>
          <w:rFonts w:asciiTheme="majorHAnsi" w:eastAsiaTheme="majorHAnsi" w:hAnsiTheme="majorHAnsi"/>
          <w:sz w:val="28"/>
          <w:szCs w:val="22"/>
        </w:rPr>
        <w:t xml:space="preserve"> ∙ Jiaxing Shangou Technology Co., Ltd. (嘉</w:t>
      </w:r>
      <w:r w:rsidRPr="004C701A">
        <w:rPr>
          <w:rFonts w:asciiTheme="majorHAnsi" w:eastAsia="Microsoft JhengHei" w:hAnsiTheme="majorHAnsi"/>
          <w:sz w:val="28"/>
          <w:szCs w:val="22"/>
        </w:rPr>
        <w:t>兴</w:t>
      </w:r>
      <w:r w:rsidRPr="004C701A">
        <w:rPr>
          <w:rFonts w:asciiTheme="majorHAnsi" w:eastAsiaTheme="majorHAnsi" w:hAnsiTheme="majorHAnsi"/>
          <w:sz w:val="28"/>
          <w:szCs w:val="22"/>
        </w:rPr>
        <w:t>市上</w:t>
      </w:r>
      <w:r w:rsidRPr="004C701A">
        <w:rPr>
          <w:rFonts w:asciiTheme="majorHAnsi" w:eastAsia="Microsoft JhengHei" w:hAnsiTheme="majorHAnsi"/>
          <w:sz w:val="28"/>
          <w:szCs w:val="22"/>
        </w:rPr>
        <w:t>欧</w:t>
      </w:r>
      <w:r w:rsidRPr="004C701A">
        <w:rPr>
          <w:rFonts w:asciiTheme="majorHAnsi" w:eastAsiaTheme="majorHAnsi" w:hAnsiTheme="majorHAnsi"/>
          <w:sz w:val="28"/>
          <w:szCs w:val="22"/>
        </w:rPr>
        <w:t>科技有限公司): A specialist in ultra-high-purity materials for semiconductor packaging, the company pledged cooperation to strengthen Gyeongsangbuk-do Province's semiconductor supply chain.</w:t>
      </w:r>
    </w:p>
    <w:p w14:paraId="5F7C0535" w14:textId="77777777" w:rsidR="00622CFE" w:rsidRPr="004C701A" w:rsidRDefault="00D93ABA" w:rsidP="000809BC">
      <w:pPr>
        <w:pStyle w:val="a3"/>
        <w:wordWrap/>
        <w:spacing w:line="240" w:lineRule="auto"/>
        <w:ind w:left="448" w:hanging="448"/>
        <w:rPr>
          <w:rFonts w:asciiTheme="majorHAnsi" w:eastAsiaTheme="majorHAnsi" w:hAnsiTheme="majorHAnsi"/>
          <w:sz w:val="18"/>
          <w:szCs w:val="22"/>
        </w:rPr>
      </w:pPr>
      <w:r w:rsidRPr="004C701A">
        <w:rPr>
          <w:rFonts w:asciiTheme="majorHAnsi" w:eastAsiaTheme="majorHAnsi" w:hAnsiTheme="majorHAnsi"/>
          <w:sz w:val="28"/>
          <w:szCs w:val="22"/>
        </w:rPr>
        <w:t xml:space="preserve"> ∙ Xihu Intelligent Vision Technology (Hangzhou) Co., Ltd. (西湖智能</w:t>
      </w:r>
      <w:r w:rsidRPr="004C701A">
        <w:rPr>
          <w:rFonts w:asciiTheme="majorHAnsi" w:eastAsia="Microsoft JhengHei" w:hAnsiTheme="majorHAnsi"/>
          <w:sz w:val="28"/>
          <w:szCs w:val="22"/>
        </w:rPr>
        <w:t>视觉</w:t>
      </w:r>
      <w:r w:rsidRPr="004C701A">
        <w:rPr>
          <w:rFonts w:asciiTheme="majorHAnsi" w:eastAsiaTheme="majorHAnsi" w:hAnsiTheme="majorHAnsi"/>
          <w:sz w:val="28"/>
          <w:szCs w:val="22"/>
        </w:rPr>
        <w:t>科技（杭州）有限公司): A technology-based spin-off pursuing smart manufacturing collaboration through high-precision machine vision solutions.</w:t>
      </w:r>
    </w:p>
    <w:p w14:paraId="5F7C0536" w14:textId="77777777" w:rsidR="00622CFE" w:rsidRPr="004C701A" w:rsidRDefault="00D93ABA" w:rsidP="000809BC">
      <w:pPr>
        <w:pStyle w:val="a3"/>
        <w:wordWrap/>
        <w:spacing w:line="240" w:lineRule="auto"/>
        <w:ind w:left="503" w:hanging="503"/>
        <w:rPr>
          <w:rFonts w:asciiTheme="majorHAnsi" w:eastAsiaTheme="majorHAnsi" w:hAnsiTheme="majorHAnsi"/>
          <w:sz w:val="18"/>
          <w:szCs w:val="22"/>
        </w:rPr>
      </w:pPr>
      <w:r w:rsidRPr="004C701A">
        <w:rPr>
          <w:rFonts w:asciiTheme="majorHAnsi" w:eastAsiaTheme="majorHAnsi" w:hAnsiTheme="majorHAnsi"/>
          <w:sz w:val="28"/>
          <w:szCs w:val="22"/>
        </w:rPr>
        <w:t xml:space="preserve"> ∙ Beijing Kexing Chuangfu Information Technology Co., Ltd. (北京</w:t>
      </w:r>
      <w:r w:rsidRPr="004C701A">
        <w:rPr>
          <w:rFonts w:asciiTheme="majorHAnsi" w:eastAsia="Microsoft JhengHei" w:hAnsiTheme="majorHAnsi"/>
          <w:sz w:val="28"/>
          <w:szCs w:val="22"/>
        </w:rPr>
        <w:t>氪</w:t>
      </w:r>
      <w:r w:rsidRPr="004C701A">
        <w:rPr>
          <w:rFonts w:asciiTheme="majorHAnsi" w:eastAsiaTheme="majorHAnsi" w:hAnsiTheme="majorHAnsi"/>
          <w:sz w:val="28"/>
          <w:szCs w:val="22"/>
        </w:rPr>
        <w:t>星</w:t>
      </w:r>
      <w:r w:rsidRPr="004C701A">
        <w:rPr>
          <w:rFonts w:asciiTheme="majorHAnsi" w:eastAsia="Microsoft JhengHei" w:hAnsiTheme="majorHAnsi"/>
          <w:sz w:val="28"/>
          <w:szCs w:val="22"/>
        </w:rPr>
        <w:t>创</w:t>
      </w:r>
      <w:r w:rsidRPr="004C701A">
        <w:rPr>
          <w:rFonts w:asciiTheme="majorHAnsi" w:eastAsiaTheme="majorHAnsi" w:hAnsiTheme="majorHAnsi"/>
          <w:sz w:val="28"/>
          <w:szCs w:val="22"/>
        </w:rPr>
        <w:t>服信息技</w:t>
      </w:r>
      <w:r w:rsidRPr="004C701A">
        <w:rPr>
          <w:rFonts w:asciiTheme="majorHAnsi" w:eastAsia="Microsoft JhengHei" w:hAnsiTheme="majorHAnsi"/>
          <w:sz w:val="28"/>
          <w:szCs w:val="22"/>
        </w:rPr>
        <w:t>术</w:t>
      </w:r>
      <w:r w:rsidRPr="004C701A">
        <w:rPr>
          <w:rFonts w:asciiTheme="majorHAnsi" w:eastAsiaTheme="majorHAnsi" w:hAnsiTheme="majorHAnsi"/>
          <w:sz w:val="28"/>
          <w:szCs w:val="22"/>
        </w:rPr>
        <w:t>有限公司): An innovation platform of NASDAQ-listed "36Kr," the company agreed to support the attraction of global talent and the development of a technology commercialization ecosystem.</w:t>
      </w:r>
    </w:p>
    <w:p w14:paraId="5F7C0537" w14:textId="6054F6F9" w:rsidR="00622CFE" w:rsidRPr="004C701A" w:rsidRDefault="00D93ABA" w:rsidP="000809BC">
      <w:pPr>
        <w:pStyle w:val="a3"/>
        <w:wordWrap/>
        <w:spacing w:line="240" w:lineRule="auto"/>
        <w:ind w:left="460" w:hanging="460"/>
        <w:rPr>
          <w:rFonts w:asciiTheme="majorHAnsi" w:eastAsiaTheme="majorHAnsi" w:hAnsiTheme="majorHAnsi"/>
          <w:sz w:val="18"/>
          <w:szCs w:val="22"/>
        </w:rPr>
      </w:pPr>
      <w:r w:rsidRPr="004C701A">
        <w:rPr>
          <w:rFonts w:asciiTheme="majorHAnsi" w:eastAsiaTheme="majorHAnsi" w:hAnsiTheme="majorHAnsi"/>
          <w:sz w:val="28"/>
          <w:szCs w:val="22"/>
        </w:rPr>
        <w:t xml:space="preserve"> ∙ Feizhuo Technology (Shanghai) Co., Ltd. (</w:t>
      </w:r>
      <w:r w:rsidRPr="004C701A">
        <w:rPr>
          <w:rFonts w:asciiTheme="majorHAnsi" w:eastAsia="Noto Sans KR" w:hAnsiTheme="majorHAnsi"/>
          <w:sz w:val="28"/>
          <w:szCs w:val="22"/>
        </w:rPr>
        <w:t>飞</w:t>
      </w:r>
      <w:r w:rsidRPr="004C701A">
        <w:rPr>
          <w:rFonts w:asciiTheme="majorHAnsi" w:eastAsiaTheme="majorHAnsi" w:hAnsiTheme="majorHAnsi"/>
          <w:sz w:val="28"/>
          <w:szCs w:val="22"/>
        </w:rPr>
        <w:t>卓科技（上海）股</w:t>
      </w:r>
      <w:r w:rsidRPr="004C701A">
        <w:rPr>
          <w:rFonts w:asciiTheme="majorHAnsi" w:eastAsia="Noto Sans KR" w:hAnsiTheme="majorHAnsi"/>
          <w:sz w:val="28"/>
          <w:szCs w:val="22"/>
        </w:rPr>
        <w:t>份</w:t>
      </w:r>
      <w:r w:rsidRPr="004C701A">
        <w:rPr>
          <w:rFonts w:asciiTheme="majorHAnsi" w:eastAsiaTheme="majorHAnsi" w:hAnsiTheme="majorHAnsi"/>
          <w:sz w:val="28"/>
          <w:szCs w:val="22"/>
        </w:rPr>
        <w:t>有限公司</w:t>
      </w:r>
      <w:r w:rsidRPr="004C701A">
        <w:rPr>
          <w:rFonts w:asciiTheme="majorHAnsi" w:hAnsiTheme="majorHAnsi"/>
          <w:sz w:val="28"/>
          <w:szCs w:val="22"/>
        </w:rPr>
        <w:t>): Scheduled to sign during an on-site company visit on the 14th, the company is a leading player in the industrial sensor field with national-level "Specialized, Refined, Distinctive, and Innovative Little Giant" certification, and synergies with Gyeongsangbuk-do's advanced manufacturing infrastructure are anticipated.</w:t>
      </w:r>
    </w:p>
    <w:p w14:paraId="5F7C0538"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9"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 Tailored Local-Government Sales and the Vision of "Global Gyeongbuk"</w:t>
      </w:r>
    </w:p>
    <w:p w14:paraId="5F7C053A"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B" w14:textId="57E01AC0"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 xml:space="preserve">At the briefing that followed the forum, representatives from each local government and business community—including Pohang (secondary </w:t>
      </w:r>
      <w:r w:rsidRPr="004C701A">
        <w:rPr>
          <w:rFonts w:asciiTheme="majorHAnsi" w:eastAsiaTheme="majorHAnsi" w:hAnsiTheme="majorHAnsi"/>
          <w:sz w:val="28"/>
          <w:szCs w:val="22"/>
        </w:rPr>
        <w:lastRenderedPageBreak/>
        <w:t>batteries), Gyeongju (automotive parts and SMR), and Gumi (semiconductors and defense)—presented their customized incentives and industrial complex profiles. Company introductions and investment consultations were then conducted by Endive Co., Ltd., a Pohang-based second-life battery (secondary battery) recycling and reuse company; ISON Co., Ltd., an ICT-based video intelligence solution drone company; Neuromeka Co., Ltd., an industrial robotics company; DSC Co., Ltd., a Gyeongju-based automotive parts company; SEA Mechanics Co., Ltd., a Gumi-based electric vehicle and automotive battery parts company; and UWBTECH Co., Ltd., a Gimcheon-based high-frequency power amplifier company for telecommunications—drawing strong interest from Chinese business participants.</w:t>
      </w:r>
    </w:p>
    <w:p w14:paraId="5F7C053C"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D"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Yang Geum-hee, Vice Governor for Economic Affairs of Gyeongsangbuk-do Province, stated, "This Shanghai forum marks the start of substantive cooperation between Gyeongsangbuk-do companies and Chinese high-tech companies." She added, "Gyeongsangbuk-do will continue to foster an environment where companies can invest and grow with confidence, firmly establishing itself as the hub of Northeast Asian economic cooperation."</w:t>
      </w:r>
    </w:p>
    <w:p w14:paraId="5F7C053E" w14:textId="77777777" w:rsidR="00622CFE" w:rsidRPr="004C701A" w:rsidRDefault="00622CFE" w:rsidP="000809BC">
      <w:pPr>
        <w:pStyle w:val="a3"/>
        <w:wordWrap/>
        <w:spacing w:line="240" w:lineRule="auto"/>
        <w:rPr>
          <w:rFonts w:asciiTheme="majorHAnsi" w:eastAsiaTheme="majorHAnsi" w:hAnsiTheme="majorHAnsi"/>
          <w:sz w:val="28"/>
          <w:szCs w:val="22"/>
        </w:rPr>
      </w:pPr>
    </w:p>
    <w:p w14:paraId="5F7C053F" w14:textId="77777777" w:rsidR="00622CFE" w:rsidRPr="004C701A" w:rsidRDefault="00D93ABA" w:rsidP="000809BC">
      <w:pPr>
        <w:pStyle w:val="a3"/>
        <w:wordWrap/>
        <w:spacing w:line="240" w:lineRule="auto"/>
        <w:rPr>
          <w:rFonts w:asciiTheme="majorHAnsi" w:eastAsiaTheme="majorHAnsi" w:hAnsiTheme="majorHAnsi"/>
          <w:sz w:val="18"/>
          <w:szCs w:val="22"/>
        </w:rPr>
      </w:pPr>
      <w:r w:rsidRPr="004C701A">
        <w:rPr>
          <w:rFonts w:asciiTheme="majorHAnsi" w:eastAsiaTheme="majorHAnsi" w:hAnsiTheme="majorHAnsi"/>
          <w:sz w:val="28"/>
          <w:szCs w:val="22"/>
        </w:rPr>
        <w:t>Following its Shanghai itinerary, Gyeongsangbuk-do Province plans to continue its investment promotion activities by moving to Ningbo on the 14th, targeting companies in e-commerce and secondary batteries, and carrying out on-site tours and matching consultations in Ningbo through the 15th.</w:t>
      </w:r>
    </w:p>
    <w:sectPr w:rsidR="00622CFE" w:rsidRPr="004C701A">
      <w:endnotePr>
        <w:numFmt w:val="decimal"/>
      </w:endnotePr>
      <w:pgSz w:w="11906" w:h="16838"/>
      <w:pgMar w:top="1500" w:right="1134" w:bottom="1701" w:left="1134" w:header="850" w:footer="850"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anumGothic">
    <w:charset w:val="81"/>
    <w:family w:val="auto"/>
    <w:pitch w:val="variable"/>
    <w:sig w:usb0="80000003" w:usb1="09D7FCE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한양신명조">
    <w:panose1 w:val="00000000000000000000"/>
    <w:charset w:val="81"/>
    <w:family w:val="roman"/>
    <w:notTrueType/>
    <w:pitch w:val="default"/>
  </w:font>
  <w:font w:name="산세리프">
    <w:panose1 w:val="00000000000000000000"/>
    <w:charset w:val="81"/>
    <w:family w:val="roman"/>
    <w:notTrueType/>
    <w:pitch w:val="default"/>
  </w:font>
  <w:font w:name="HY중고딕">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font>
  <w:font w:name="굴림체">
    <w:panose1 w:val="020B0609000101010101"/>
    <w:charset w:val="81"/>
    <w:family w:val="modern"/>
    <w:pitch w:val="fixed"/>
    <w:sig w:usb0="B00002AF" w:usb1="69D77CFB" w:usb2="00000030" w:usb3="00000000" w:csb0="0008009F" w:csb1="00000000"/>
  </w:font>
  <w:font w:name="Microsoft JhengHei">
    <w:panose1 w:val="020B0604030504040204"/>
    <w:charset w:val="88"/>
    <w:family w:val="swiss"/>
    <w:pitch w:val="variable"/>
    <w:sig w:usb0="000002A7" w:usb1="28CF4400" w:usb2="00000016" w:usb3="00000000" w:csb0="00100009" w:csb1="00000000"/>
  </w:font>
  <w:font w:name="Noto Sans KR">
    <w:panose1 w:val="020B0200000000000000"/>
    <w:charset w:val="81"/>
    <w:family w:val="modern"/>
    <w:pitch w:val="variable"/>
    <w:sig w:usb0="30000287" w:usb1="2BDF3C10" w:usb2="00000016" w:usb3="00000000" w:csb0="002E01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31D44"/>
    <w:multiLevelType w:val="multilevel"/>
    <w:tmpl w:val="035E9270"/>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1" w15:restartNumberingAfterBreak="0">
    <w:nsid w:val="16C115E5"/>
    <w:multiLevelType w:val="multilevel"/>
    <w:tmpl w:val="3A2070CA"/>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2" w15:restartNumberingAfterBreak="0">
    <w:nsid w:val="2924041E"/>
    <w:multiLevelType w:val="multilevel"/>
    <w:tmpl w:val="4BAEE5AE"/>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3" w15:restartNumberingAfterBreak="0">
    <w:nsid w:val="33D93FF8"/>
    <w:multiLevelType w:val="multilevel"/>
    <w:tmpl w:val="8760DFF0"/>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4" w15:restartNumberingAfterBreak="0">
    <w:nsid w:val="5E7C14C4"/>
    <w:multiLevelType w:val="multilevel"/>
    <w:tmpl w:val="AF6A113E"/>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5" w15:restartNumberingAfterBreak="0">
    <w:nsid w:val="5FE93A76"/>
    <w:multiLevelType w:val="multilevel"/>
    <w:tmpl w:val="17021A8E"/>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abstractNum w:abstractNumId="6" w15:restartNumberingAfterBreak="0">
    <w:nsid w:val="688623D2"/>
    <w:multiLevelType w:val="multilevel"/>
    <w:tmpl w:val="C9DC9B26"/>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NanumGothic" w:eastAsia="NanumGothic" w:hAnsi="NanumGothic"/>
        <w:color w:val="000000"/>
        <w:sz w:val="20"/>
      </w:rPr>
    </w:lvl>
    <w:lvl w:ilvl="8">
      <w:start w:val="1"/>
      <w:numFmt w:val="decimal"/>
      <w:suff w:val="nothing"/>
      <w:lvlText w:val=""/>
      <w:lvlJc w:val="left"/>
      <w:rPr>
        <w:rFonts w:ascii="NanumGothic" w:eastAsia="NanumGothic" w:hAnsi="NanumGothic"/>
        <w:color w:val="000000"/>
        <w:sz w:val="20"/>
      </w:rPr>
    </w:lvl>
  </w:abstractNum>
  <w:num w:numId="1" w16cid:durableId="1078747140">
    <w:abstractNumId w:val="3"/>
  </w:num>
  <w:num w:numId="2" w16cid:durableId="668483525">
    <w:abstractNumId w:val="1"/>
  </w:num>
  <w:num w:numId="3" w16cid:durableId="1599175250">
    <w:abstractNumId w:val="2"/>
  </w:num>
  <w:num w:numId="4" w16cid:durableId="854656489">
    <w:abstractNumId w:val="4"/>
  </w:num>
  <w:num w:numId="5" w16cid:durableId="773473502">
    <w:abstractNumId w:val="6"/>
  </w:num>
  <w:num w:numId="6" w16cid:durableId="744189319">
    <w:abstractNumId w:val="5"/>
  </w:num>
  <w:num w:numId="7" w16cid:durableId="1391002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CFE"/>
    <w:rsid w:val="000809BC"/>
    <w:rsid w:val="000A4E1E"/>
    <w:rsid w:val="002730B9"/>
    <w:rsid w:val="0037067E"/>
    <w:rsid w:val="004C701A"/>
    <w:rsid w:val="005C6A91"/>
    <w:rsid w:val="00622CFE"/>
    <w:rsid w:val="007609FD"/>
    <w:rsid w:val="007D6429"/>
    <w:rsid w:val="00816C7E"/>
    <w:rsid w:val="00862E3E"/>
    <w:rsid w:val="00A179E2"/>
    <w:rsid w:val="00D93ABA"/>
    <w:rsid w:val="00F826FD"/>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0506"/>
  <w15:docId w15:val="{4929B89A-B6EA-4F01-A44D-54F7F59B4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NanumGothic" w:eastAsia="NanumGothic"/>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NanumGothic" w:eastAsia="NanumGothic"/>
      <w:color w:val="000000"/>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NanumGothic" w:eastAsia="NanumGothic"/>
      <w:color w:val="000000"/>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NanumGothic" w:eastAsia="NanumGothic"/>
      <w:b/>
      <w:color w:val="000000"/>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NanumGothic" w:eastAsia="NanumGothic"/>
      <w:color w:val="000000"/>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NanumGothic" w:eastAsia="NanumGothic"/>
      <w:b/>
      <w:color w:val="00000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NanumGothic" w:eastAsia="NanumGothic"/>
      <w:color w:val="00000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NanumGothic" w:eastAsia="NanumGothic"/>
      <w:color w:val="00000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NanumGothic" w:eastAsia="NanumGothic"/>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jc w:val="both"/>
      <w:textAlignment w:val="baseline"/>
    </w:pPr>
    <w:rPr>
      <w:rFonts w:ascii="NanumGothic" w:eastAsia="NanumGothic"/>
      <w:color w:val="000000"/>
    </w:rPr>
  </w:style>
  <w:style w:type="paragraph" w:styleId="a5">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NanumGothic" w:eastAsia="NanumGothic"/>
      <w:b/>
      <w:color w:val="000000"/>
      <w:sz w:val="32"/>
    </w:rPr>
  </w:style>
  <w:style w:type="paragraph" w:styleId="a6">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NanumGothic" w:eastAsia="NanumGothic"/>
      <w:color w:val="000000"/>
      <w:sz w:val="24"/>
    </w:rPr>
  </w:style>
  <w:style w:type="character" w:styleId="a7">
    <w:name w:val="Subtle Emphasis"/>
    <w:uiPriority w:val="14"/>
    <w:rPr>
      <w:rFonts w:ascii="NanumGothic" w:eastAsia="NanumGothic"/>
      <w:i/>
      <w:color w:val="404040"/>
      <w:sz w:val="22"/>
    </w:rPr>
  </w:style>
  <w:style w:type="character" w:styleId="a8">
    <w:name w:val="Emphasis"/>
    <w:uiPriority w:val="15"/>
    <w:rPr>
      <w:rFonts w:ascii="NanumGothic" w:eastAsia="NanumGothic"/>
      <w:i/>
      <w:color w:val="000000"/>
      <w:sz w:val="22"/>
    </w:rPr>
  </w:style>
  <w:style w:type="character" w:styleId="a9">
    <w:name w:val="Intense Emphasis"/>
    <w:uiPriority w:val="16"/>
    <w:rPr>
      <w:rFonts w:ascii="NanumGothic" w:eastAsia="NanumGothic"/>
      <w:i/>
      <w:color w:val="5B9BD5"/>
      <w:sz w:val="22"/>
    </w:rPr>
  </w:style>
  <w:style w:type="character" w:styleId="aa">
    <w:name w:val="Strong"/>
    <w:uiPriority w:val="17"/>
    <w:rPr>
      <w:rFonts w:ascii="NanumGothic" w:eastAsia="NanumGothic"/>
      <w:b/>
      <w:color w:val="000000"/>
      <w:sz w:val="22"/>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NanumGothic" w:eastAsia="NanumGothic"/>
      <w:i/>
      <w:color w:val="40404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NanumGothic" w:eastAsia="NanumGothic"/>
      <w:i/>
      <w:color w:val="5B9BD5"/>
    </w:rPr>
  </w:style>
  <w:style w:type="character" w:styleId="ad">
    <w:name w:val="Subtle Reference"/>
    <w:uiPriority w:val="20"/>
    <w:rPr>
      <w:rFonts w:ascii="NanumGothic" w:eastAsia="NanumGothic"/>
      <w:color w:val="5A5A5A"/>
      <w:sz w:val="22"/>
    </w:rPr>
  </w:style>
  <w:style w:type="character" w:styleId="ae">
    <w:name w:val="Intense Reference"/>
    <w:uiPriority w:val="21"/>
    <w:rPr>
      <w:rFonts w:ascii="NanumGothic" w:eastAsia="NanumGothic"/>
      <w:b/>
      <w:color w:val="5B9BD5"/>
      <w:sz w:val="22"/>
    </w:rPr>
  </w:style>
  <w:style w:type="character" w:styleId="af">
    <w:name w:val="Book Title"/>
    <w:uiPriority w:val="22"/>
    <w:rPr>
      <w:rFonts w:ascii="NanumGothic" w:eastAsia="NanumGothic"/>
      <w:b/>
      <w:i/>
      <w:color w:val="000000"/>
      <w:sz w:val="22"/>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NanumGothic" w:eastAsia="NanumGothic"/>
      <w:color w:val="00000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NanumGothic" w:eastAsia="NanumGothic"/>
      <w:color w:val="00000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NanumGothic" w:eastAsia="NanumGothic"/>
      <w:color w:val="00000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NanumGothic" w:eastAsia="NanumGothic"/>
      <w:color w:val="00000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NanumGothic" w:eastAsia="NanumGothic"/>
      <w:color w:val="00000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NanumGothic" w:eastAsia="NanumGothic"/>
      <w:color w:val="00000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NanumGothic" w:eastAsia="NanumGothic"/>
      <w:color w:val="00000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NanumGothic" w:eastAsia="NanumGothic"/>
      <w:color w:val="00000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NanumGothic" w:eastAsia="NanumGothic"/>
      <w:color w:val="000000"/>
    </w:rPr>
  </w:style>
  <w:style w:type="paragraph" w:styleId="af1">
    <w:name w:val="Body Text"/>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2">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3">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4">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5">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한양신명조" w:eastAsia="한양신명조"/>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한양신명조" w:eastAsia="한양신명조"/>
      <w:color w:val="000000"/>
      <w:w w:val="95"/>
      <w:sz w:val="34"/>
    </w:rPr>
  </w:style>
  <w:style w:type="paragraph" w:customStyle="1" w:styleId="af6">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산세리프" w:eastAsia="한양신명조"/>
      <w:color w:val="000000"/>
      <w:sz w:val="20"/>
    </w:rPr>
  </w:style>
  <w:style w:type="paragraph" w:customStyle="1" w:styleId="af7">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한양신명조" w:eastAsia="한양신명조"/>
      <w:color w:val="000000"/>
      <w:sz w:val="30"/>
    </w:rPr>
  </w:style>
  <w:style w:type="paragraph" w:customStyle="1" w:styleId="110">
    <w:name w:val="바탕글 사본11"/>
    <w:uiPriority w:val="6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styleId="af8">
    <w:name w:val="annotation text"/>
    <w:basedOn w:val="a"/>
    <w:link w:val="Char"/>
    <w:uiPriority w:val="99"/>
    <w:semiHidden/>
    <w:unhideWhenUsed/>
  </w:style>
  <w:style w:type="character" w:customStyle="1" w:styleId="Char">
    <w:name w:val="메모 텍스트 Char"/>
    <w:basedOn w:val="a0"/>
    <w:link w:val="af8"/>
    <w:uiPriority w:val="99"/>
    <w:semiHidden/>
  </w:style>
  <w:style w:type="character" w:styleId="af9">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789</Words>
  <Characters>4971</Characters>
  <Application>Microsoft Office Word</Application>
  <DocSecurity>0</DocSecurity>
  <Lines>146</Lines>
  <Paragraphs>35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LEXCODE</cp:lastModifiedBy>
  <cp:revision>8</cp:revision>
  <dcterms:created xsi:type="dcterms:W3CDTF">2013-05-29T07:53:00Z</dcterms:created>
  <dcterms:modified xsi:type="dcterms:W3CDTF">2026-04-22T10:03:00Z</dcterms:modified>
  <cp:version>0501.0001.01</cp:version>
</cp:coreProperties>
</file>