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Overlap w:val="never"/>
        <w:tblW w:w="9547" w:type="dxa"/>
        <w:tblInd w:w="28" w:type="dxa"/>
        <w:tblBorders>
          <w:top w:val="single" w:sz="3" w:space="0" w:color="000000"/>
          <w:left w:val="single" w:sz="3" w:space="0" w:color="000000"/>
          <w:bottom w:val="single" w:sz="3" w:space="0" w:color="000000"/>
          <w:right w:val="single" w:sz="3" w:space="0" w:color="000000"/>
        </w:tblBorders>
        <w:tblLayout w:type="fixed"/>
        <w:tblCellMar>
          <w:left w:w="28" w:type="dxa"/>
          <w:right w:w="28" w:type="dxa"/>
        </w:tblCellMar>
        <w:tblLook w:val="04A0" w:firstRow="1" w:lastRow="0" w:firstColumn="1" w:lastColumn="0" w:noHBand="0" w:noVBand="1"/>
      </w:tblPr>
      <w:tblGrid>
        <w:gridCol w:w="1699"/>
        <w:gridCol w:w="2385"/>
        <w:gridCol w:w="1203"/>
        <w:gridCol w:w="970"/>
        <w:gridCol w:w="736"/>
        <w:gridCol w:w="450"/>
        <w:gridCol w:w="938"/>
        <w:gridCol w:w="1166"/>
      </w:tblGrid>
      <w:tr w:rsidR="00EC31D8" w:rsidRPr="00317877" w14:paraId="3ADE7E9F" w14:textId="77777777" w:rsidTr="00E92F2E">
        <w:trPr>
          <w:trHeight w:val="433"/>
        </w:trPr>
        <w:tc>
          <w:tcPr>
            <w:tcW w:w="1699" w:type="dxa"/>
            <w:vMerge w:val="restart"/>
            <w:tcBorders>
              <w:top w:val="single" w:sz="9" w:space="0" w:color="000000"/>
              <w:left w:val="single" w:sz="9" w:space="0" w:color="000000"/>
              <w:bottom w:val="single" w:sz="9" w:space="0" w:color="000000"/>
              <w:right w:val="single" w:sz="5" w:space="0" w:color="000000"/>
            </w:tcBorders>
            <w:vAlign w:val="center"/>
          </w:tcPr>
          <w:p w14:paraId="7F79A4ED" w14:textId="77777777" w:rsidR="00EC31D8" w:rsidRPr="00317877" w:rsidRDefault="0060319F" w:rsidP="00E92F2E">
            <w:pPr>
              <w:pStyle w:val="a3"/>
              <w:wordWrap/>
              <w:spacing w:line="240" w:lineRule="auto"/>
              <w:jc w:val="center"/>
              <w:rPr>
                <w:rFonts w:ascii="Arial" w:eastAsiaTheme="majorHAnsi" w:hAnsi="Arial" w:cs="Arial"/>
                <w:sz w:val="18"/>
                <w:szCs w:val="22"/>
              </w:rPr>
            </w:pPr>
            <w:bookmarkStart w:id="0" w:name="_top"/>
            <w:bookmarkEnd w:id="0"/>
            <w:r w:rsidRPr="00317877">
              <w:rPr>
                <w:rFonts w:ascii="Arial" w:eastAsiaTheme="majorHAnsi" w:hAnsi="Arial" w:cs="Arial"/>
                <w:noProof/>
                <w:sz w:val="18"/>
                <w:szCs w:val="22"/>
              </w:rPr>
              <w:drawing>
                <wp:inline distT="0" distB="0" distL="0" distR="0" wp14:anchorId="3ADE7ED2" wp14:editId="30127A38">
                  <wp:extent cx="885190" cy="590550"/>
                  <wp:effectExtent l="0" t="0" r="0" b="0"/>
                  <wp:docPr id="3" name="그림 %d 3"/>
                  <wp:cNvGraphicFramePr/>
                  <a:graphic xmlns:a="http://schemas.openxmlformats.org/drawingml/2006/main">
                    <a:graphicData uri="http://schemas.openxmlformats.org/drawingml/2006/picture">
                      <pic:pic xmlns:pic="http://schemas.openxmlformats.org/drawingml/2006/picture">
                        <pic:nvPicPr>
                          <pic:cNvPr id="0" name="C:\Users\LXCD\AppData\Local\Temp\Hnc\BinData\EMB00004ae03b7b.JPG"/>
                          <pic:cNvPicPr/>
                        </pic:nvPicPr>
                        <pic:blipFill rotWithShape="1">
                          <a:blip r:embed="rId7"/>
                          <a:srcRect b="21052"/>
                          <a:stretch>
                            <a:fillRect/>
                          </a:stretch>
                        </pic:blipFill>
                        <pic:spPr bwMode="auto">
                          <a:xfrm>
                            <a:off x="0" y="0"/>
                            <a:ext cx="885190" cy="590550"/>
                          </a:xfrm>
                          <a:prstGeom prst="rect">
                            <a:avLst/>
                          </a:prstGeom>
                          <a:ln>
                            <a:noFill/>
                          </a:ln>
                          <a:effectLst/>
                          <a:extLst>
                            <a:ext uri="{53640926-AAD7-44D8-BBD7-CCE9431645EC}">
                              <a14:shadowObscured xmlns:a14="http://schemas.microsoft.com/office/drawing/2010/main"/>
                            </a:ext>
                          </a:extLst>
                        </pic:spPr>
                      </pic:pic>
                    </a:graphicData>
                  </a:graphic>
                </wp:inline>
              </w:drawing>
            </w:r>
          </w:p>
          <w:p w14:paraId="3ADE7E9A" w14:textId="3560A6E4" w:rsidR="002D0D39" w:rsidRPr="00317877" w:rsidRDefault="002D0D39" w:rsidP="00E92F2E">
            <w:pPr>
              <w:pStyle w:val="a3"/>
              <w:wordWrap/>
              <w:spacing w:line="240" w:lineRule="auto"/>
              <w:jc w:val="center"/>
              <w:rPr>
                <w:rFonts w:ascii="Arial" w:eastAsiaTheme="majorHAnsi" w:hAnsi="Arial" w:cs="Arial"/>
                <w:b/>
                <w:bCs/>
                <w:sz w:val="18"/>
                <w:szCs w:val="22"/>
              </w:rPr>
            </w:pPr>
            <w:r w:rsidRPr="00317877">
              <w:rPr>
                <w:rFonts w:ascii="Arial" w:eastAsiaTheme="majorHAnsi" w:hAnsi="Arial" w:cs="Arial"/>
                <w:b/>
                <w:bCs/>
                <w:sz w:val="22"/>
                <w:szCs w:val="32"/>
              </w:rPr>
              <w:t>Gyeongsangbuk-do</w:t>
            </w:r>
          </w:p>
        </w:tc>
        <w:tc>
          <w:tcPr>
            <w:tcW w:w="2385" w:type="dxa"/>
            <w:vMerge w:val="restart"/>
            <w:tcBorders>
              <w:top w:val="single" w:sz="9" w:space="0" w:color="000000"/>
              <w:left w:val="single" w:sz="5" w:space="0" w:color="000000"/>
              <w:bottom w:val="single" w:sz="9" w:space="0" w:color="000000"/>
              <w:right w:val="double" w:sz="4" w:space="0" w:color="000000"/>
            </w:tcBorders>
            <w:vAlign w:val="center"/>
          </w:tcPr>
          <w:p w14:paraId="554CDA19" w14:textId="77777777" w:rsidR="002D0D39" w:rsidRPr="00317877" w:rsidRDefault="002D0D39" w:rsidP="002D0D39">
            <w:pPr>
              <w:pStyle w:val="a3"/>
              <w:wordWrap/>
              <w:spacing w:line="240" w:lineRule="auto"/>
              <w:jc w:val="center"/>
              <w:rPr>
                <w:rFonts w:ascii="Arial" w:eastAsiaTheme="majorHAnsi" w:hAnsi="Arial" w:cs="Arial"/>
                <w:b/>
                <w:bCs/>
                <w:sz w:val="44"/>
                <w:szCs w:val="56"/>
              </w:rPr>
            </w:pPr>
            <w:r w:rsidRPr="00317877">
              <w:rPr>
                <w:rFonts w:ascii="Arial" w:eastAsiaTheme="majorHAnsi" w:hAnsi="Arial" w:cs="Arial"/>
                <w:b/>
                <w:bCs/>
                <w:noProof/>
                <w:sz w:val="44"/>
                <w:szCs w:val="56"/>
              </w:rPr>
              <w:t>Press Release</w:t>
            </w:r>
          </w:p>
          <w:p w14:paraId="3ADE7E9C" w14:textId="77777777" w:rsidR="00EC31D8" w:rsidRPr="00317877" w:rsidRDefault="0060319F" w:rsidP="00E92F2E">
            <w:pPr>
              <w:pStyle w:val="a3"/>
              <w:wordWrap/>
              <w:spacing w:line="240" w:lineRule="auto"/>
              <w:jc w:val="center"/>
              <w:rPr>
                <w:rFonts w:ascii="Arial" w:eastAsiaTheme="majorHAnsi" w:hAnsi="Arial" w:cs="Arial"/>
                <w:sz w:val="18"/>
                <w:szCs w:val="22"/>
              </w:rPr>
            </w:pPr>
            <w:r w:rsidRPr="00317877">
              <w:rPr>
                <w:rFonts w:ascii="Arial" w:eastAsiaTheme="majorHAnsi" w:hAnsi="Arial" w:cs="Arial"/>
                <w:sz w:val="28"/>
                <w:szCs w:val="22"/>
              </w:rPr>
              <w:t>【</w:t>
            </w:r>
            <w:r w:rsidRPr="00317877">
              <w:rPr>
                <w:rFonts w:ascii="Arial" w:eastAsiaTheme="majorHAnsi" w:hAnsi="Arial" w:cs="Arial"/>
                <w:sz w:val="28"/>
                <w:szCs w:val="22"/>
              </w:rPr>
              <w:t>April 15, 2026 (Wed)</w:t>
            </w:r>
            <w:r w:rsidRPr="00317877">
              <w:rPr>
                <w:rFonts w:ascii="Arial" w:eastAsiaTheme="majorHAnsi" w:hAnsi="Arial" w:cs="Arial"/>
                <w:sz w:val="28"/>
                <w:szCs w:val="22"/>
              </w:rPr>
              <w:t>】</w:t>
            </w:r>
          </w:p>
        </w:tc>
        <w:tc>
          <w:tcPr>
            <w:tcW w:w="1203" w:type="dxa"/>
            <w:tcBorders>
              <w:top w:val="single" w:sz="9" w:space="0" w:color="000000"/>
              <w:left w:val="double" w:sz="4" w:space="0" w:color="000000"/>
              <w:bottom w:val="single" w:sz="3" w:space="0" w:color="000000"/>
              <w:right w:val="single" w:sz="5" w:space="0" w:color="000000"/>
            </w:tcBorders>
            <w:vAlign w:val="center"/>
          </w:tcPr>
          <w:p w14:paraId="3ADE7E9D" w14:textId="77777777" w:rsidR="00EC31D8" w:rsidRPr="00317877" w:rsidRDefault="0060319F" w:rsidP="00E92F2E">
            <w:pPr>
              <w:pStyle w:val="a3"/>
              <w:wordWrap/>
              <w:spacing w:line="240" w:lineRule="auto"/>
              <w:jc w:val="center"/>
              <w:rPr>
                <w:rFonts w:ascii="Arial" w:eastAsiaTheme="majorHAnsi" w:hAnsi="Arial" w:cs="Arial"/>
                <w:sz w:val="18"/>
                <w:szCs w:val="22"/>
              </w:rPr>
            </w:pPr>
            <w:r w:rsidRPr="00317877">
              <w:rPr>
                <w:rFonts w:ascii="Arial" w:eastAsiaTheme="majorHAnsi" w:hAnsi="Arial" w:cs="Arial"/>
                <w:sz w:val="24"/>
                <w:szCs w:val="22"/>
              </w:rPr>
              <w:t>Division in Charge</w:t>
            </w:r>
          </w:p>
        </w:tc>
        <w:tc>
          <w:tcPr>
            <w:tcW w:w="4260" w:type="dxa"/>
            <w:gridSpan w:val="5"/>
            <w:tcBorders>
              <w:top w:val="single" w:sz="9" w:space="0" w:color="000000"/>
              <w:left w:val="single" w:sz="5" w:space="0" w:color="000000"/>
              <w:bottom w:val="single" w:sz="3" w:space="0" w:color="000000"/>
              <w:right w:val="single" w:sz="9" w:space="0" w:color="000000"/>
            </w:tcBorders>
            <w:vAlign w:val="center"/>
          </w:tcPr>
          <w:p w14:paraId="3ADE7E9E" w14:textId="77777777" w:rsidR="00EC31D8" w:rsidRPr="00317877" w:rsidRDefault="0060319F" w:rsidP="00E92F2E">
            <w:pPr>
              <w:pStyle w:val="a3"/>
              <w:wordWrap/>
              <w:spacing w:line="240" w:lineRule="auto"/>
              <w:jc w:val="center"/>
              <w:rPr>
                <w:rFonts w:ascii="Arial" w:eastAsiaTheme="majorHAnsi" w:hAnsi="Arial" w:cs="Arial"/>
                <w:sz w:val="18"/>
                <w:szCs w:val="22"/>
              </w:rPr>
            </w:pPr>
            <w:r w:rsidRPr="00317877">
              <w:rPr>
                <w:rFonts w:ascii="Arial" w:eastAsiaTheme="majorHAnsi" w:hAnsi="Arial" w:cs="Arial"/>
                <w:sz w:val="24"/>
                <w:szCs w:val="22"/>
              </w:rPr>
              <w:t>New Consolidated Airport Investment Office, Division of Investment Promotion</w:t>
            </w:r>
          </w:p>
        </w:tc>
      </w:tr>
      <w:tr w:rsidR="00EC31D8" w:rsidRPr="00317877" w14:paraId="3ADE7EA5" w14:textId="77777777" w:rsidTr="00E92F2E">
        <w:trPr>
          <w:trHeight w:val="432"/>
        </w:trPr>
        <w:tc>
          <w:tcPr>
            <w:tcW w:w="1699" w:type="dxa"/>
            <w:vMerge/>
            <w:tcBorders>
              <w:top w:val="single" w:sz="9" w:space="0" w:color="000000"/>
              <w:left w:val="single" w:sz="9" w:space="0" w:color="000000"/>
              <w:bottom w:val="single" w:sz="9" w:space="0" w:color="000000"/>
              <w:right w:val="single" w:sz="5" w:space="0" w:color="000000"/>
            </w:tcBorders>
          </w:tcPr>
          <w:p w14:paraId="3ADE7EA0" w14:textId="77777777" w:rsidR="00EC31D8" w:rsidRPr="00317877" w:rsidRDefault="00EC31D8" w:rsidP="00E92F2E">
            <w:pPr>
              <w:pStyle w:val="a3"/>
              <w:wordWrap/>
              <w:spacing w:line="240" w:lineRule="auto"/>
              <w:rPr>
                <w:rFonts w:ascii="Arial" w:eastAsiaTheme="majorHAnsi" w:hAnsi="Arial" w:cs="Arial"/>
                <w:sz w:val="18"/>
                <w:szCs w:val="22"/>
              </w:rPr>
            </w:pPr>
          </w:p>
        </w:tc>
        <w:tc>
          <w:tcPr>
            <w:tcW w:w="2385" w:type="dxa"/>
            <w:vMerge/>
            <w:tcBorders>
              <w:top w:val="single" w:sz="9" w:space="0" w:color="000000"/>
              <w:left w:val="single" w:sz="5" w:space="0" w:color="000000"/>
              <w:bottom w:val="single" w:sz="9" w:space="0" w:color="000000"/>
              <w:right w:val="double" w:sz="4" w:space="0" w:color="000000"/>
            </w:tcBorders>
          </w:tcPr>
          <w:p w14:paraId="3ADE7EA1" w14:textId="77777777" w:rsidR="00EC31D8" w:rsidRPr="00317877" w:rsidRDefault="00EC31D8" w:rsidP="00E92F2E">
            <w:pPr>
              <w:pStyle w:val="a3"/>
              <w:wordWrap/>
              <w:spacing w:line="240" w:lineRule="auto"/>
              <w:rPr>
                <w:rFonts w:ascii="Arial" w:eastAsiaTheme="majorHAnsi" w:hAnsi="Arial" w:cs="Arial"/>
                <w:sz w:val="18"/>
                <w:szCs w:val="22"/>
              </w:rPr>
            </w:pPr>
          </w:p>
        </w:tc>
        <w:tc>
          <w:tcPr>
            <w:tcW w:w="1203" w:type="dxa"/>
            <w:vMerge w:val="restart"/>
            <w:tcBorders>
              <w:top w:val="single" w:sz="3" w:space="0" w:color="000000"/>
              <w:left w:val="double" w:sz="4" w:space="0" w:color="000000"/>
              <w:bottom w:val="single" w:sz="3" w:space="0" w:color="000000"/>
              <w:right w:val="single" w:sz="5" w:space="0" w:color="000000"/>
            </w:tcBorders>
            <w:vAlign w:val="center"/>
          </w:tcPr>
          <w:p w14:paraId="3ADE7EA2" w14:textId="7D155B16" w:rsidR="00EC31D8" w:rsidRPr="00317877" w:rsidRDefault="0060319F" w:rsidP="00E92F2E">
            <w:pPr>
              <w:pStyle w:val="a3"/>
              <w:wordWrap/>
              <w:spacing w:line="240" w:lineRule="auto"/>
              <w:jc w:val="center"/>
              <w:rPr>
                <w:rFonts w:ascii="Arial" w:eastAsiaTheme="majorHAnsi" w:hAnsi="Arial" w:cs="Arial"/>
                <w:sz w:val="18"/>
                <w:szCs w:val="22"/>
              </w:rPr>
            </w:pPr>
            <w:r w:rsidRPr="00317877">
              <w:rPr>
                <w:rFonts w:ascii="Arial" w:eastAsiaTheme="majorHAnsi" w:hAnsi="Arial" w:cs="Arial"/>
                <w:sz w:val="24"/>
                <w:szCs w:val="22"/>
              </w:rPr>
              <w:t>Author</w:t>
            </w:r>
          </w:p>
        </w:tc>
        <w:tc>
          <w:tcPr>
            <w:tcW w:w="970" w:type="dxa"/>
            <w:tcBorders>
              <w:top w:val="single" w:sz="3" w:space="0" w:color="000000"/>
              <w:left w:val="single" w:sz="5" w:space="0" w:color="000000"/>
              <w:bottom w:val="single" w:sz="3" w:space="0" w:color="000000"/>
              <w:right w:val="single" w:sz="3" w:space="0" w:color="000000"/>
            </w:tcBorders>
            <w:vAlign w:val="center"/>
          </w:tcPr>
          <w:p w14:paraId="3ADE7EA3" w14:textId="16154232" w:rsidR="00EC31D8" w:rsidRPr="00317877" w:rsidRDefault="0060319F" w:rsidP="00E92F2E">
            <w:pPr>
              <w:pStyle w:val="a3"/>
              <w:wordWrap/>
              <w:spacing w:line="240" w:lineRule="auto"/>
              <w:jc w:val="center"/>
              <w:rPr>
                <w:rFonts w:ascii="Arial" w:eastAsiaTheme="majorHAnsi" w:hAnsi="Arial" w:cs="Arial"/>
                <w:sz w:val="18"/>
                <w:szCs w:val="22"/>
              </w:rPr>
            </w:pPr>
            <w:r w:rsidRPr="00317877">
              <w:rPr>
                <w:rFonts w:ascii="Arial" w:eastAsiaTheme="majorHAnsi" w:hAnsi="Arial" w:cs="Arial"/>
                <w:sz w:val="24"/>
                <w:szCs w:val="22"/>
              </w:rPr>
              <w:t>Director</w:t>
            </w:r>
          </w:p>
        </w:tc>
        <w:tc>
          <w:tcPr>
            <w:tcW w:w="3290" w:type="dxa"/>
            <w:gridSpan w:val="4"/>
            <w:tcBorders>
              <w:top w:val="single" w:sz="3" w:space="0" w:color="000000"/>
              <w:left w:val="single" w:sz="3" w:space="0" w:color="000000"/>
              <w:bottom w:val="single" w:sz="3" w:space="0" w:color="000000"/>
              <w:right w:val="single" w:sz="9" w:space="0" w:color="000000"/>
            </w:tcBorders>
            <w:vAlign w:val="center"/>
          </w:tcPr>
          <w:p w14:paraId="3ADE7EA4" w14:textId="19E583E2" w:rsidR="00EC31D8" w:rsidRPr="00317877" w:rsidRDefault="0060319F" w:rsidP="00E92F2E">
            <w:pPr>
              <w:pStyle w:val="a3"/>
              <w:wordWrap/>
              <w:spacing w:line="240" w:lineRule="auto"/>
              <w:jc w:val="center"/>
              <w:rPr>
                <w:rFonts w:ascii="Arial" w:eastAsiaTheme="majorHAnsi" w:hAnsi="Arial" w:cs="Arial"/>
                <w:sz w:val="18"/>
                <w:szCs w:val="22"/>
              </w:rPr>
            </w:pPr>
            <w:r w:rsidRPr="00317877">
              <w:rPr>
                <w:rFonts w:ascii="Arial" w:eastAsiaTheme="majorHAnsi" w:hAnsi="Arial" w:cs="Arial"/>
                <w:sz w:val="24"/>
                <w:szCs w:val="22"/>
              </w:rPr>
              <w:t xml:space="preserve">Shin Seung-hoon </w:t>
            </w:r>
          </w:p>
        </w:tc>
      </w:tr>
      <w:tr w:rsidR="00EC31D8" w:rsidRPr="00317877" w14:paraId="3ADE7EAD" w14:textId="77777777" w:rsidTr="00E92F2E">
        <w:trPr>
          <w:trHeight w:val="433"/>
        </w:trPr>
        <w:tc>
          <w:tcPr>
            <w:tcW w:w="1699" w:type="dxa"/>
            <w:vMerge/>
            <w:tcBorders>
              <w:top w:val="single" w:sz="9" w:space="0" w:color="000000"/>
              <w:left w:val="single" w:sz="9" w:space="0" w:color="000000"/>
              <w:bottom w:val="single" w:sz="9" w:space="0" w:color="000000"/>
              <w:right w:val="single" w:sz="5" w:space="0" w:color="000000"/>
            </w:tcBorders>
          </w:tcPr>
          <w:p w14:paraId="3ADE7EA6" w14:textId="77777777" w:rsidR="00EC31D8" w:rsidRPr="00317877" w:rsidRDefault="00EC31D8" w:rsidP="00E92F2E">
            <w:pPr>
              <w:pStyle w:val="a3"/>
              <w:wordWrap/>
              <w:spacing w:line="240" w:lineRule="auto"/>
              <w:rPr>
                <w:rFonts w:ascii="Arial" w:eastAsiaTheme="majorHAnsi" w:hAnsi="Arial" w:cs="Arial"/>
                <w:sz w:val="18"/>
                <w:szCs w:val="22"/>
              </w:rPr>
            </w:pPr>
          </w:p>
        </w:tc>
        <w:tc>
          <w:tcPr>
            <w:tcW w:w="2385" w:type="dxa"/>
            <w:vMerge/>
            <w:tcBorders>
              <w:top w:val="single" w:sz="9" w:space="0" w:color="000000"/>
              <w:left w:val="single" w:sz="5" w:space="0" w:color="000000"/>
              <w:bottom w:val="single" w:sz="9" w:space="0" w:color="000000"/>
              <w:right w:val="double" w:sz="4" w:space="0" w:color="000000"/>
            </w:tcBorders>
          </w:tcPr>
          <w:p w14:paraId="3ADE7EA7" w14:textId="77777777" w:rsidR="00EC31D8" w:rsidRPr="00317877" w:rsidRDefault="00EC31D8" w:rsidP="00E92F2E">
            <w:pPr>
              <w:pStyle w:val="a3"/>
              <w:wordWrap/>
              <w:spacing w:line="240" w:lineRule="auto"/>
              <w:rPr>
                <w:rFonts w:ascii="Arial" w:eastAsiaTheme="majorHAnsi" w:hAnsi="Arial" w:cs="Arial"/>
                <w:sz w:val="18"/>
                <w:szCs w:val="22"/>
              </w:rPr>
            </w:pPr>
          </w:p>
        </w:tc>
        <w:tc>
          <w:tcPr>
            <w:tcW w:w="1203" w:type="dxa"/>
            <w:vMerge/>
            <w:tcBorders>
              <w:top w:val="single" w:sz="3" w:space="0" w:color="000000"/>
              <w:left w:val="double" w:sz="4" w:space="0" w:color="000000"/>
              <w:bottom w:val="single" w:sz="3" w:space="0" w:color="000000"/>
              <w:right w:val="single" w:sz="5" w:space="0" w:color="000000"/>
            </w:tcBorders>
          </w:tcPr>
          <w:p w14:paraId="3ADE7EA8" w14:textId="77777777" w:rsidR="00EC31D8" w:rsidRPr="00317877" w:rsidRDefault="00EC31D8" w:rsidP="00E92F2E">
            <w:pPr>
              <w:pStyle w:val="a3"/>
              <w:wordWrap/>
              <w:spacing w:line="240" w:lineRule="auto"/>
              <w:rPr>
                <w:rFonts w:ascii="Arial" w:eastAsiaTheme="majorHAnsi" w:hAnsi="Arial" w:cs="Arial"/>
                <w:sz w:val="18"/>
                <w:szCs w:val="22"/>
              </w:rPr>
            </w:pPr>
          </w:p>
        </w:tc>
        <w:tc>
          <w:tcPr>
            <w:tcW w:w="970" w:type="dxa"/>
            <w:tcBorders>
              <w:top w:val="single" w:sz="3" w:space="0" w:color="000000"/>
              <w:left w:val="single" w:sz="5" w:space="0" w:color="000000"/>
              <w:bottom w:val="single" w:sz="3" w:space="0" w:color="000000"/>
              <w:right w:val="single" w:sz="3" w:space="0" w:color="000000"/>
            </w:tcBorders>
            <w:vAlign w:val="center"/>
          </w:tcPr>
          <w:p w14:paraId="3ADE7EA9" w14:textId="38B8B267" w:rsidR="00EC31D8" w:rsidRPr="00317877" w:rsidRDefault="0060319F" w:rsidP="00E92F2E">
            <w:pPr>
              <w:pStyle w:val="a3"/>
              <w:wordWrap/>
              <w:spacing w:line="240" w:lineRule="auto"/>
              <w:jc w:val="center"/>
              <w:rPr>
                <w:rFonts w:ascii="Arial" w:eastAsiaTheme="majorHAnsi" w:hAnsi="Arial" w:cs="Arial"/>
                <w:sz w:val="18"/>
                <w:szCs w:val="22"/>
              </w:rPr>
            </w:pPr>
            <w:r w:rsidRPr="00317877">
              <w:rPr>
                <w:rFonts w:ascii="Arial" w:eastAsiaTheme="majorHAnsi" w:hAnsi="Arial" w:cs="Arial"/>
                <w:sz w:val="24"/>
                <w:szCs w:val="22"/>
              </w:rPr>
              <w:t>Team Leader</w:t>
            </w:r>
          </w:p>
        </w:tc>
        <w:tc>
          <w:tcPr>
            <w:tcW w:w="1186" w:type="dxa"/>
            <w:gridSpan w:val="2"/>
            <w:tcBorders>
              <w:top w:val="single" w:sz="3" w:space="0" w:color="000000"/>
              <w:left w:val="single" w:sz="3" w:space="0" w:color="000000"/>
              <w:bottom w:val="single" w:sz="3" w:space="0" w:color="000000"/>
              <w:right w:val="single" w:sz="3" w:space="0" w:color="000000"/>
            </w:tcBorders>
            <w:vAlign w:val="center"/>
          </w:tcPr>
          <w:p w14:paraId="3ADE7EAA" w14:textId="77777777" w:rsidR="00EC31D8" w:rsidRPr="00317877" w:rsidRDefault="0060319F" w:rsidP="00E92F2E">
            <w:pPr>
              <w:pStyle w:val="a3"/>
              <w:wordWrap/>
              <w:spacing w:line="240" w:lineRule="auto"/>
              <w:jc w:val="center"/>
              <w:rPr>
                <w:rFonts w:ascii="Arial" w:eastAsiaTheme="majorHAnsi" w:hAnsi="Arial" w:cs="Arial"/>
                <w:sz w:val="18"/>
                <w:szCs w:val="22"/>
              </w:rPr>
            </w:pPr>
            <w:r w:rsidRPr="00317877">
              <w:rPr>
                <w:rFonts w:ascii="Arial" w:eastAsiaTheme="majorHAnsi" w:hAnsi="Arial" w:cs="Arial"/>
                <w:sz w:val="24"/>
                <w:szCs w:val="22"/>
              </w:rPr>
              <w:t>Jeon Jin-young</w:t>
            </w:r>
          </w:p>
        </w:tc>
        <w:tc>
          <w:tcPr>
            <w:tcW w:w="938" w:type="dxa"/>
            <w:tcBorders>
              <w:top w:val="single" w:sz="3" w:space="0" w:color="000000"/>
              <w:left w:val="single" w:sz="3" w:space="0" w:color="000000"/>
              <w:bottom w:val="single" w:sz="3" w:space="0" w:color="000000"/>
              <w:right w:val="single" w:sz="3" w:space="0" w:color="000000"/>
            </w:tcBorders>
            <w:vAlign w:val="center"/>
          </w:tcPr>
          <w:p w14:paraId="3ADE7EAB" w14:textId="77777777" w:rsidR="00EC31D8" w:rsidRPr="00317877" w:rsidRDefault="0060319F" w:rsidP="00E92F2E">
            <w:pPr>
              <w:pStyle w:val="a3"/>
              <w:wordWrap/>
              <w:spacing w:line="240" w:lineRule="auto"/>
              <w:jc w:val="center"/>
              <w:rPr>
                <w:rFonts w:ascii="Arial" w:eastAsiaTheme="majorHAnsi" w:hAnsi="Arial" w:cs="Arial"/>
                <w:sz w:val="18"/>
                <w:szCs w:val="22"/>
              </w:rPr>
            </w:pPr>
            <w:r w:rsidRPr="00317877">
              <w:rPr>
                <w:rFonts w:ascii="Arial" w:eastAsiaTheme="majorHAnsi" w:hAnsi="Arial" w:cs="Arial"/>
                <w:sz w:val="24"/>
                <w:szCs w:val="22"/>
              </w:rPr>
              <w:t>Senior Officer</w:t>
            </w:r>
          </w:p>
        </w:tc>
        <w:tc>
          <w:tcPr>
            <w:tcW w:w="1166" w:type="dxa"/>
            <w:tcBorders>
              <w:top w:val="single" w:sz="3" w:space="0" w:color="000000"/>
              <w:left w:val="single" w:sz="3" w:space="0" w:color="000000"/>
              <w:bottom w:val="single" w:sz="3" w:space="0" w:color="000000"/>
              <w:right w:val="single" w:sz="9" w:space="0" w:color="000000"/>
            </w:tcBorders>
            <w:vAlign w:val="center"/>
          </w:tcPr>
          <w:p w14:paraId="3ADE7EAC" w14:textId="77777777" w:rsidR="00EC31D8" w:rsidRPr="00317877" w:rsidRDefault="0060319F" w:rsidP="00E92F2E">
            <w:pPr>
              <w:pStyle w:val="a3"/>
              <w:wordWrap/>
              <w:spacing w:line="240" w:lineRule="auto"/>
              <w:jc w:val="center"/>
              <w:rPr>
                <w:rFonts w:ascii="Arial" w:eastAsiaTheme="majorHAnsi" w:hAnsi="Arial" w:cs="Arial"/>
                <w:sz w:val="18"/>
                <w:szCs w:val="22"/>
              </w:rPr>
            </w:pPr>
            <w:r w:rsidRPr="00317877">
              <w:rPr>
                <w:rFonts w:ascii="Arial" w:eastAsiaTheme="majorHAnsi" w:hAnsi="Arial" w:cs="Arial"/>
                <w:sz w:val="24"/>
                <w:szCs w:val="22"/>
              </w:rPr>
              <w:t>Lee Jin-young</w:t>
            </w:r>
          </w:p>
        </w:tc>
      </w:tr>
      <w:tr w:rsidR="00EC31D8" w:rsidRPr="00317877" w14:paraId="3ADE7EB4" w14:textId="77777777" w:rsidTr="00E92F2E">
        <w:trPr>
          <w:trHeight w:val="432"/>
        </w:trPr>
        <w:tc>
          <w:tcPr>
            <w:tcW w:w="1699" w:type="dxa"/>
            <w:vMerge/>
            <w:tcBorders>
              <w:top w:val="single" w:sz="9" w:space="0" w:color="000000"/>
              <w:left w:val="single" w:sz="9" w:space="0" w:color="000000"/>
              <w:bottom w:val="single" w:sz="9" w:space="0" w:color="000000"/>
              <w:right w:val="single" w:sz="5" w:space="0" w:color="000000"/>
            </w:tcBorders>
          </w:tcPr>
          <w:p w14:paraId="3ADE7EAE" w14:textId="77777777" w:rsidR="00EC31D8" w:rsidRPr="00317877" w:rsidRDefault="00EC31D8" w:rsidP="00E92F2E">
            <w:pPr>
              <w:pStyle w:val="a3"/>
              <w:wordWrap/>
              <w:spacing w:line="240" w:lineRule="auto"/>
              <w:rPr>
                <w:rFonts w:ascii="Arial" w:eastAsiaTheme="majorHAnsi" w:hAnsi="Arial" w:cs="Arial"/>
                <w:sz w:val="18"/>
                <w:szCs w:val="22"/>
              </w:rPr>
            </w:pPr>
          </w:p>
        </w:tc>
        <w:tc>
          <w:tcPr>
            <w:tcW w:w="2385" w:type="dxa"/>
            <w:vMerge/>
            <w:tcBorders>
              <w:top w:val="single" w:sz="9" w:space="0" w:color="000000"/>
              <w:left w:val="single" w:sz="5" w:space="0" w:color="000000"/>
              <w:bottom w:val="single" w:sz="9" w:space="0" w:color="000000"/>
              <w:right w:val="double" w:sz="4" w:space="0" w:color="000000"/>
            </w:tcBorders>
          </w:tcPr>
          <w:p w14:paraId="3ADE7EAF" w14:textId="77777777" w:rsidR="00EC31D8" w:rsidRPr="00317877" w:rsidRDefault="00EC31D8" w:rsidP="00E92F2E">
            <w:pPr>
              <w:pStyle w:val="a3"/>
              <w:wordWrap/>
              <w:spacing w:line="240" w:lineRule="auto"/>
              <w:rPr>
                <w:rFonts w:ascii="Arial" w:eastAsiaTheme="majorHAnsi" w:hAnsi="Arial" w:cs="Arial"/>
                <w:sz w:val="18"/>
                <w:szCs w:val="22"/>
              </w:rPr>
            </w:pPr>
          </w:p>
        </w:tc>
        <w:tc>
          <w:tcPr>
            <w:tcW w:w="1203" w:type="dxa"/>
            <w:tcBorders>
              <w:top w:val="single" w:sz="3" w:space="0" w:color="000000"/>
              <w:left w:val="double" w:sz="4" w:space="0" w:color="000000"/>
              <w:bottom w:val="single" w:sz="9" w:space="0" w:color="000000"/>
              <w:right w:val="single" w:sz="5" w:space="0" w:color="000000"/>
            </w:tcBorders>
            <w:vAlign w:val="center"/>
          </w:tcPr>
          <w:p w14:paraId="3ADE7EB0" w14:textId="370B03A4" w:rsidR="00EC31D8" w:rsidRPr="00317877" w:rsidRDefault="0060319F" w:rsidP="00E92F2E">
            <w:pPr>
              <w:pStyle w:val="a3"/>
              <w:wordWrap/>
              <w:spacing w:line="240" w:lineRule="auto"/>
              <w:jc w:val="center"/>
              <w:rPr>
                <w:rFonts w:ascii="Arial" w:eastAsiaTheme="majorHAnsi" w:hAnsi="Arial" w:cs="Arial"/>
                <w:sz w:val="18"/>
                <w:szCs w:val="22"/>
              </w:rPr>
            </w:pPr>
            <w:r w:rsidRPr="00317877">
              <w:rPr>
                <w:rFonts w:ascii="Arial" w:eastAsiaTheme="majorHAnsi" w:hAnsi="Arial" w:cs="Arial"/>
                <w:sz w:val="24"/>
                <w:szCs w:val="22"/>
              </w:rPr>
              <w:t>Contact Information</w:t>
            </w:r>
          </w:p>
        </w:tc>
        <w:tc>
          <w:tcPr>
            <w:tcW w:w="1706" w:type="dxa"/>
            <w:gridSpan w:val="2"/>
            <w:tcBorders>
              <w:top w:val="single" w:sz="3" w:space="0" w:color="000000"/>
              <w:left w:val="single" w:sz="5" w:space="0" w:color="000000"/>
              <w:bottom w:val="single" w:sz="9" w:space="0" w:color="000000"/>
              <w:right w:val="single" w:sz="5" w:space="0" w:color="000000"/>
            </w:tcBorders>
            <w:vAlign w:val="center"/>
          </w:tcPr>
          <w:p w14:paraId="3ADE7EB1" w14:textId="77777777" w:rsidR="00EC31D8" w:rsidRPr="00317877" w:rsidRDefault="0060319F" w:rsidP="00E92F2E">
            <w:pPr>
              <w:pStyle w:val="a3"/>
              <w:wordWrap/>
              <w:spacing w:line="240" w:lineRule="auto"/>
              <w:jc w:val="center"/>
              <w:rPr>
                <w:rFonts w:ascii="Arial" w:eastAsiaTheme="majorHAnsi" w:hAnsi="Arial" w:cs="Arial"/>
                <w:sz w:val="18"/>
                <w:szCs w:val="22"/>
              </w:rPr>
            </w:pPr>
            <w:r w:rsidRPr="00317877">
              <w:rPr>
                <w:rFonts w:ascii="Arial" w:eastAsiaTheme="majorHAnsi" w:hAnsi="Arial" w:cs="Arial"/>
                <w:sz w:val="24"/>
                <w:szCs w:val="22"/>
              </w:rPr>
              <w:t>+82-54-880-4612</w:t>
            </w:r>
          </w:p>
        </w:tc>
        <w:tc>
          <w:tcPr>
            <w:tcW w:w="450" w:type="dxa"/>
            <w:tcBorders>
              <w:top w:val="single" w:sz="3" w:space="0" w:color="000000"/>
              <w:left w:val="single" w:sz="5" w:space="0" w:color="000000"/>
              <w:bottom w:val="single" w:sz="9" w:space="0" w:color="000000"/>
              <w:right w:val="single" w:sz="5" w:space="0" w:color="000000"/>
            </w:tcBorders>
            <w:vAlign w:val="center"/>
          </w:tcPr>
          <w:p w14:paraId="3ADE7EB2" w14:textId="77777777" w:rsidR="00EC31D8" w:rsidRPr="00317877" w:rsidRDefault="0060319F" w:rsidP="00E92F2E">
            <w:pPr>
              <w:pStyle w:val="a3"/>
              <w:wordWrap/>
              <w:spacing w:line="240" w:lineRule="auto"/>
              <w:jc w:val="center"/>
              <w:rPr>
                <w:rFonts w:ascii="Arial" w:eastAsiaTheme="majorHAnsi" w:hAnsi="Arial" w:cs="Arial"/>
                <w:sz w:val="18"/>
                <w:szCs w:val="22"/>
              </w:rPr>
            </w:pPr>
            <w:r w:rsidRPr="00317877">
              <w:rPr>
                <w:rFonts w:ascii="Arial" w:eastAsiaTheme="majorHAnsi" w:hAnsi="Arial" w:cs="Arial"/>
                <w:sz w:val="24"/>
                <w:szCs w:val="22"/>
              </w:rPr>
              <w:t>CP</w:t>
            </w:r>
          </w:p>
        </w:tc>
        <w:tc>
          <w:tcPr>
            <w:tcW w:w="2104" w:type="dxa"/>
            <w:gridSpan w:val="2"/>
            <w:tcBorders>
              <w:top w:val="single" w:sz="3" w:space="0" w:color="000000"/>
              <w:left w:val="single" w:sz="5" w:space="0" w:color="000000"/>
              <w:bottom w:val="single" w:sz="9" w:space="0" w:color="000000"/>
              <w:right w:val="single" w:sz="9" w:space="0" w:color="000000"/>
            </w:tcBorders>
            <w:vAlign w:val="center"/>
          </w:tcPr>
          <w:p w14:paraId="3ADE7EB3" w14:textId="77777777" w:rsidR="00EC31D8" w:rsidRPr="00317877" w:rsidRDefault="0060319F" w:rsidP="00E92F2E">
            <w:pPr>
              <w:pStyle w:val="a3"/>
              <w:wordWrap/>
              <w:spacing w:line="240" w:lineRule="auto"/>
              <w:jc w:val="center"/>
              <w:rPr>
                <w:rFonts w:ascii="Arial" w:eastAsiaTheme="majorHAnsi" w:hAnsi="Arial" w:cs="Arial"/>
                <w:sz w:val="18"/>
                <w:szCs w:val="22"/>
              </w:rPr>
            </w:pPr>
            <w:r w:rsidRPr="00317877">
              <w:rPr>
                <w:rFonts w:ascii="Arial" w:eastAsiaTheme="majorHAnsi" w:hAnsi="Arial" w:cs="Arial"/>
                <w:sz w:val="24"/>
                <w:szCs w:val="22"/>
              </w:rPr>
              <w:t>+82-10-4936-2391</w:t>
            </w:r>
          </w:p>
        </w:tc>
      </w:tr>
    </w:tbl>
    <w:p w14:paraId="3ADE7EB5" w14:textId="77777777" w:rsidR="00EC31D8" w:rsidRPr="00317877" w:rsidRDefault="00EC31D8" w:rsidP="00E92F2E">
      <w:pPr>
        <w:pStyle w:val="a3"/>
        <w:wordWrap/>
        <w:spacing w:line="240" w:lineRule="auto"/>
        <w:rPr>
          <w:rFonts w:ascii="Arial" w:eastAsiaTheme="majorHAnsi" w:hAnsi="Arial" w:cs="Arial"/>
          <w:sz w:val="18"/>
          <w:szCs w:val="22"/>
        </w:rPr>
      </w:pPr>
    </w:p>
    <w:tbl>
      <w:tblPr>
        <w:tblOverlap w:val="never"/>
        <w:tblW w:w="9582"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9582"/>
      </w:tblGrid>
      <w:tr w:rsidR="00EC31D8" w:rsidRPr="00317877" w14:paraId="3ADE7EB9" w14:textId="77777777">
        <w:trPr>
          <w:trHeight w:val="1707"/>
        </w:trPr>
        <w:tc>
          <w:tcPr>
            <w:tcW w:w="9582" w:type="dxa"/>
            <w:tcBorders>
              <w:top w:val="single" w:sz="11" w:space="0" w:color="0000FF"/>
              <w:left w:val="none" w:sz="2" w:space="0" w:color="FFFFFF"/>
              <w:bottom w:val="single" w:sz="23" w:space="0" w:color="3366FF"/>
              <w:right w:val="none" w:sz="2" w:space="0" w:color="FFFFFF"/>
            </w:tcBorders>
            <w:vAlign w:val="center"/>
          </w:tcPr>
          <w:p w14:paraId="3ADE7EB6" w14:textId="77777777" w:rsidR="00EC31D8" w:rsidRPr="00317877" w:rsidRDefault="0060319F" w:rsidP="00E92F2E">
            <w:pPr>
              <w:pStyle w:val="a3"/>
              <w:wordWrap/>
              <w:spacing w:line="240" w:lineRule="auto"/>
              <w:jc w:val="center"/>
              <w:rPr>
                <w:rFonts w:ascii="Arial" w:eastAsiaTheme="majorHAnsi" w:hAnsi="Arial" w:cs="Arial"/>
                <w:sz w:val="18"/>
                <w:szCs w:val="22"/>
              </w:rPr>
            </w:pPr>
            <w:r w:rsidRPr="00317877">
              <w:rPr>
                <w:rFonts w:ascii="Arial" w:eastAsiaTheme="majorHAnsi" w:hAnsi="Arial" w:cs="Arial"/>
                <w:b/>
                <w:bCs/>
                <w:sz w:val="44"/>
                <w:szCs w:val="22"/>
              </w:rPr>
              <w:t>Gyeongsangbuk-do Accelerates Its Global Investment Promotion Relay in Ningbo, Another Key Economic Hub</w:t>
            </w:r>
          </w:p>
          <w:p w14:paraId="3ADE7EB7" w14:textId="77777777" w:rsidR="00EC31D8" w:rsidRPr="00317877" w:rsidRDefault="0060319F" w:rsidP="00E92F2E">
            <w:pPr>
              <w:pStyle w:val="a3"/>
              <w:wordWrap/>
              <w:spacing w:line="240" w:lineRule="auto"/>
              <w:jc w:val="center"/>
              <w:rPr>
                <w:rFonts w:ascii="Arial" w:eastAsiaTheme="majorHAnsi" w:hAnsi="Arial" w:cs="Arial"/>
                <w:sz w:val="18"/>
                <w:szCs w:val="22"/>
              </w:rPr>
            </w:pPr>
            <w:r w:rsidRPr="00317877">
              <w:rPr>
                <w:rFonts w:ascii="Arial" w:eastAsiaTheme="majorHAnsi" w:hAnsi="Arial" w:cs="Arial"/>
                <w:b/>
                <w:bCs/>
                <w:sz w:val="28"/>
                <w:szCs w:val="22"/>
              </w:rPr>
              <w:t>- April 14–15: Investment cooperation MOUs signed in Ningbo in conjunction with the "Korea-China Industrial Cooperation Forum" -</w:t>
            </w:r>
          </w:p>
          <w:p w14:paraId="3ADE7EB8" w14:textId="77777777" w:rsidR="00EC31D8" w:rsidRPr="00317877" w:rsidRDefault="0060319F" w:rsidP="00E92F2E">
            <w:pPr>
              <w:pStyle w:val="a3"/>
              <w:wordWrap/>
              <w:spacing w:line="240" w:lineRule="auto"/>
              <w:jc w:val="center"/>
              <w:rPr>
                <w:rFonts w:ascii="Arial" w:eastAsiaTheme="majorHAnsi" w:hAnsi="Arial" w:cs="Arial"/>
                <w:sz w:val="18"/>
                <w:szCs w:val="22"/>
              </w:rPr>
            </w:pPr>
            <w:r w:rsidRPr="00317877">
              <w:rPr>
                <w:rFonts w:ascii="Arial" w:eastAsiaTheme="majorHAnsi" w:hAnsi="Arial" w:cs="Arial"/>
                <w:b/>
                <w:bCs/>
                <w:sz w:val="28"/>
                <w:szCs w:val="22"/>
              </w:rPr>
              <w:t>- Partnerships signed with global investment platforms, including Saichuang Weilai (</w:t>
            </w:r>
            <w:r w:rsidRPr="00317877">
              <w:rPr>
                <w:rFonts w:ascii="Arial" w:eastAsia="Microsoft JhengHei" w:hAnsi="Arial" w:cs="Arial"/>
                <w:b/>
                <w:bCs/>
                <w:sz w:val="28"/>
                <w:szCs w:val="22"/>
              </w:rPr>
              <w:t>赛创</w:t>
            </w:r>
            <w:r w:rsidRPr="00317877">
              <w:rPr>
                <w:rFonts w:ascii="Arial" w:eastAsia="맑은 고딕" w:hAnsi="Arial" w:cs="Arial"/>
                <w:b/>
                <w:bCs/>
                <w:sz w:val="28"/>
                <w:szCs w:val="22"/>
              </w:rPr>
              <w:t>未</w:t>
            </w:r>
            <w:r w:rsidRPr="00317877">
              <w:rPr>
                <w:rFonts w:ascii="Arial" w:eastAsia="Noto Sans KR" w:hAnsi="Arial" w:cs="Arial"/>
                <w:b/>
                <w:bCs/>
                <w:sz w:val="28"/>
                <w:szCs w:val="22"/>
              </w:rPr>
              <w:t>来</w:t>
            </w:r>
            <w:r w:rsidRPr="00317877">
              <w:rPr>
                <w:rFonts w:ascii="Arial" w:eastAsiaTheme="majorHAnsi" w:hAnsi="Arial" w:cs="Arial"/>
                <w:b/>
                <w:bCs/>
                <w:sz w:val="28"/>
                <w:szCs w:val="22"/>
              </w:rPr>
              <w:t>) and Juzhuo Capital (</w:t>
            </w:r>
            <w:r w:rsidRPr="00317877">
              <w:rPr>
                <w:rFonts w:ascii="Arial" w:eastAsiaTheme="majorHAnsi" w:hAnsi="Arial" w:cs="Arial"/>
                <w:b/>
                <w:bCs/>
                <w:sz w:val="28"/>
                <w:szCs w:val="22"/>
              </w:rPr>
              <w:t>聚卓</w:t>
            </w:r>
            <w:r w:rsidRPr="00317877">
              <w:rPr>
                <w:rFonts w:ascii="Arial" w:eastAsia="Microsoft JhengHei" w:hAnsi="Arial" w:cs="Arial"/>
                <w:b/>
                <w:bCs/>
                <w:sz w:val="28"/>
                <w:szCs w:val="22"/>
              </w:rPr>
              <w:t>资</w:t>
            </w:r>
            <w:r w:rsidRPr="00317877">
              <w:rPr>
                <w:rFonts w:ascii="Arial" w:eastAsia="맑은 고딕" w:hAnsi="Arial" w:cs="Arial"/>
                <w:b/>
                <w:bCs/>
                <w:sz w:val="28"/>
                <w:szCs w:val="22"/>
              </w:rPr>
              <w:t>本</w:t>
            </w:r>
            <w:r w:rsidRPr="00317877">
              <w:rPr>
                <w:rFonts w:ascii="Arial" w:eastAsiaTheme="majorHAnsi" w:hAnsi="Arial" w:cs="Arial"/>
                <w:b/>
                <w:bCs/>
                <w:sz w:val="28"/>
                <w:szCs w:val="22"/>
              </w:rPr>
              <w:t>) -</w:t>
            </w:r>
          </w:p>
        </w:tc>
      </w:tr>
    </w:tbl>
    <w:p w14:paraId="3ADE7EBA" w14:textId="77777777" w:rsidR="00EC31D8" w:rsidRPr="00317877" w:rsidRDefault="00EC31D8" w:rsidP="00E92F2E">
      <w:pPr>
        <w:pStyle w:val="a3"/>
        <w:wordWrap/>
        <w:spacing w:line="240" w:lineRule="auto"/>
        <w:jc w:val="center"/>
        <w:rPr>
          <w:rFonts w:ascii="Arial" w:eastAsiaTheme="majorHAnsi" w:hAnsi="Arial" w:cs="Arial"/>
          <w:sz w:val="18"/>
          <w:szCs w:val="22"/>
        </w:rPr>
      </w:pPr>
    </w:p>
    <w:p w14:paraId="3ADE7EBB" w14:textId="77777777" w:rsidR="00EC31D8" w:rsidRPr="00317877" w:rsidRDefault="0060319F" w:rsidP="00E92F2E">
      <w:pPr>
        <w:pStyle w:val="a3"/>
        <w:wordWrap/>
        <w:spacing w:line="240" w:lineRule="auto"/>
        <w:rPr>
          <w:rFonts w:ascii="Arial" w:eastAsiaTheme="majorHAnsi" w:hAnsi="Arial" w:cs="Arial"/>
          <w:sz w:val="18"/>
          <w:szCs w:val="22"/>
        </w:rPr>
      </w:pPr>
      <w:r w:rsidRPr="00317877">
        <w:rPr>
          <w:rFonts w:ascii="Arial" w:eastAsiaTheme="majorHAnsi" w:hAnsi="Arial" w:cs="Arial"/>
          <w:sz w:val="28"/>
          <w:szCs w:val="22"/>
        </w:rPr>
        <w:t>Following Shanghai, Gyeongsangbuk-do Province held the "Korea-China Industrial Cooperation Forum and Investment Briefing" in Ningbo, China, from April 14 to 15. Building on the momentum of the successful Shanghai event, the forum focused on directly linking Gyeongsangbuk-do's core strategic industries—automotive parts, advanced robotics, and the global startup ecosystem—to local supply chains in China.</w:t>
      </w:r>
    </w:p>
    <w:p w14:paraId="3ADE7EBC" w14:textId="77777777" w:rsidR="00EC31D8" w:rsidRPr="00317877" w:rsidRDefault="00EC31D8" w:rsidP="00E92F2E">
      <w:pPr>
        <w:pStyle w:val="a3"/>
        <w:wordWrap/>
        <w:spacing w:line="240" w:lineRule="auto"/>
        <w:rPr>
          <w:rFonts w:ascii="Arial" w:eastAsiaTheme="majorHAnsi" w:hAnsi="Arial" w:cs="Arial"/>
          <w:sz w:val="28"/>
          <w:szCs w:val="22"/>
        </w:rPr>
      </w:pPr>
    </w:p>
    <w:p w14:paraId="3ADE7EBD" w14:textId="77777777" w:rsidR="00EC31D8" w:rsidRPr="00317877" w:rsidRDefault="0060319F" w:rsidP="00E92F2E">
      <w:pPr>
        <w:pStyle w:val="a3"/>
        <w:wordWrap/>
        <w:spacing w:line="240" w:lineRule="auto"/>
        <w:rPr>
          <w:rFonts w:ascii="Arial" w:eastAsiaTheme="majorHAnsi" w:hAnsi="Arial" w:cs="Arial"/>
          <w:sz w:val="18"/>
          <w:szCs w:val="22"/>
        </w:rPr>
      </w:pPr>
      <w:r w:rsidRPr="00317877">
        <w:rPr>
          <w:rFonts w:ascii="Arial" w:eastAsiaTheme="majorHAnsi" w:hAnsi="Arial" w:cs="Arial"/>
          <w:sz w:val="28"/>
          <w:szCs w:val="22"/>
        </w:rPr>
        <w:t>The event was hosted by Gyeongsangbuk-do Province and its cities and counties, and organized by the Gyeongbuk Economic Promotion Agency (GEPA). Approximately 100 participants attended, including government officials from Korea and China, experts from universities and research institutions, corporate executives, representatives of investment institutions, and journalists.</w:t>
      </w:r>
    </w:p>
    <w:p w14:paraId="3ADE7EBE" w14:textId="77777777" w:rsidR="00EC31D8" w:rsidRPr="00317877" w:rsidRDefault="00EC31D8" w:rsidP="00E92F2E">
      <w:pPr>
        <w:pStyle w:val="a3"/>
        <w:wordWrap/>
        <w:spacing w:line="240" w:lineRule="auto"/>
        <w:rPr>
          <w:rFonts w:ascii="Arial" w:eastAsiaTheme="majorHAnsi" w:hAnsi="Arial" w:cs="Arial"/>
          <w:sz w:val="28"/>
          <w:szCs w:val="22"/>
        </w:rPr>
      </w:pPr>
    </w:p>
    <w:p w14:paraId="3ADE7EBF" w14:textId="77777777" w:rsidR="00EC31D8" w:rsidRPr="00317877" w:rsidRDefault="0060319F" w:rsidP="00E92F2E">
      <w:pPr>
        <w:pStyle w:val="a3"/>
        <w:wordWrap/>
        <w:spacing w:line="240" w:lineRule="auto"/>
        <w:rPr>
          <w:rFonts w:ascii="Arial" w:eastAsiaTheme="majorHAnsi" w:hAnsi="Arial" w:cs="Arial"/>
          <w:sz w:val="18"/>
          <w:szCs w:val="22"/>
        </w:rPr>
      </w:pPr>
      <w:r w:rsidRPr="00317877">
        <w:rPr>
          <w:rFonts w:ascii="Arial" w:eastAsiaTheme="majorHAnsi" w:hAnsi="Arial" w:cs="Arial"/>
          <w:sz w:val="28"/>
          <w:szCs w:val="22"/>
        </w:rPr>
        <w:t xml:space="preserve">■ Building a "Strategic Partnership" Encompassing Automotive Parts, Talent-Based Startups, and Capital Investment </w:t>
      </w:r>
    </w:p>
    <w:p w14:paraId="3ADE7EC0" w14:textId="77777777" w:rsidR="00EC31D8" w:rsidRPr="00317877" w:rsidRDefault="00EC31D8" w:rsidP="00E92F2E">
      <w:pPr>
        <w:pStyle w:val="a3"/>
        <w:wordWrap/>
        <w:spacing w:line="240" w:lineRule="auto"/>
        <w:rPr>
          <w:rFonts w:ascii="Arial" w:eastAsiaTheme="majorHAnsi" w:hAnsi="Arial" w:cs="Arial"/>
          <w:sz w:val="28"/>
          <w:szCs w:val="22"/>
        </w:rPr>
      </w:pPr>
    </w:p>
    <w:p w14:paraId="3ADE7EC1" w14:textId="77777777" w:rsidR="00EC31D8" w:rsidRPr="00317877" w:rsidRDefault="0060319F" w:rsidP="00E92F2E">
      <w:pPr>
        <w:pStyle w:val="a3"/>
        <w:wordWrap/>
        <w:spacing w:line="240" w:lineRule="auto"/>
        <w:rPr>
          <w:rFonts w:ascii="Arial" w:eastAsiaTheme="majorHAnsi" w:hAnsi="Arial" w:cs="Arial"/>
          <w:sz w:val="18"/>
          <w:szCs w:val="22"/>
        </w:rPr>
      </w:pPr>
      <w:r w:rsidRPr="00317877">
        <w:rPr>
          <w:rFonts w:ascii="Arial" w:eastAsiaTheme="majorHAnsi" w:hAnsi="Arial" w:cs="Arial"/>
          <w:sz w:val="28"/>
          <w:szCs w:val="22"/>
        </w:rPr>
        <w:t>In Ningbo, Gyeongsangbuk-do Province achieved the notable result of signing memoranda of understanding (MOUs) with four major institutions and companies, aimed at upgrading the fundamentals of its regional industries and expanding its global reach.</w:t>
      </w:r>
    </w:p>
    <w:p w14:paraId="3ADE7EC2" w14:textId="77777777" w:rsidR="00EC31D8" w:rsidRPr="00317877" w:rsidRDefault="0060319F" w:rsidP="00E92F2E">
      <w:pPr>
        <w:pStyle w:val="a3"/>
        <w:wordWrap/>
        <w:spacing w:line="240" w:lineRule="auto"/>
        <w:ind w:left="547" w:hanging="547"/>
        <w:rPr>
          <w:rFonts w:ascii="Arial" w:eastAsiaTheme="majorHAnsi" w:hAnsi="Arial" w:cs="Arial"/>
          <w:sz w:val="18"/>
          <w:szCs w:val="22"/>
        </w:rPr>
      </w:pPr>
      <w:r w:rsidRPr="00317877">
        <w:rPr>
          <w:rFonts w:ascii="Arial" w:hAnsi="Arial" w:cs="Arial"/>
          <w:sz w:val="28"/>
          <w:szCs w:val="22"/>
        </w:rPr>
        <w:t xml:space="preserve"> ∙ </w:t>
      </w:r>
      <w:r w:rsidRPr="00317877">
        <w:rPr>
          <w:rFonts w:ascii="Arial" w:eastAsiaTheme="majorHAnsi" w:hAnsi="Arial" w:cs="Arial"/>
          <w:sz w:val="28"/>
          <w:szCs w:val="22"/>
        </w:rPr>
        <w:t xml:space="preserve">Ningbo Yinzhou Automotive Parts International Chamber of Commerce </w:t>
      </w:r>
      <w:r w:rsidRPr="00317877">
        <w:rPr>
          <w:rFonts w:ascii="Arial" w:eastAsiaTheme="majorHAnsi" w:hAnsi="Arial" w:cs="Arial"/>
          <w:sz w:val="28"/>
          <w:szCs w:val="22"/>
        </w:rPr>
        <w:lastRenderedPageBreak/>
        <w:t>(</w:t>
      </w:r>
      <w:r w:rsidRPr="00317877">
        <w:rPr>
          <w:rFonts w:ascii="Arial" w:eastAsiaTheme="majorHAnsi" w:hAnsi="Arial" w:cs="Arial"/>
          <w:sz w:val="28"/>
          <w:szCs w:val="22"/>
        </w:rPr>
        <w:t>宁波市鄞州汽</w:t>
      </w:r>
      <w:r w:rsidRPr="00317877">
        <w:rPr>
          <w:rFonts w:ascii="Arial" w:eastAsia="Noto Sans KR" w:hAnsi="Arial" w:cs="Arial"/>
          <w:sz w:val="28"/>
          <w:szCs w:val="22"/>
        </w:rPr>
        <w:t>车</w:t>
      </w:r>
      <w:r w:rsidRPr="00317877">
        <w:rPr>
          <w:rFonts w:ascii="Arial" w:eastAsia="맑은 고딕" w:hAnsi="Arial" w:cs="Arial"/>
          <w:sz w:val="28"/>
          <w:szCs w:val="22"/>
        </w:rPr>
        <w:t>零部件</w:t>
      </w:r>
      <w:r w:rsidRPr="00317877">
        <w:rPr>
          <w:rFonts w:ascii="Arial" w:eastAsia="Noto Sans KR" w:hAnsi="Arial" w:cs="Arial"/>
          <w:sz w:val="28"/>
          <w:szCs w:val="22"/>
        </w:rPr>
        <w:t>国</w:t>
      </w:r>
      <w:r w:rsidRPr="00317877">
        <w:rPr>
          <w:rFonts w:ascii="Arial" w:eastAsia="Microsoft JhengHei" w:hAnsi="Arial" w:cs="Arial"/>
          <w:sz w:val="28"/>
          <w:szCs w:val="22"/>
        </w:rPr>
        <w:t>际</w:t>
      </w:r>
      <w:r w:rsidRPr="00317877">
        <w:rPr>
          <w:rFonts w:ascii="Arial" w:eastAsia="맑은 고딕" w:hAnsi="Arial" w:cs="Arial"/>
          <w:sz w:val="28"/>
          <w:szCs w:val="22"/>
        </w:rPr>
        <w:t>商</w:t>
      </w:r>
      <w:r w:rsidRPr="00317877">
        <w:rPr>
          <w:rFonts w:ascii="Arial" w:eastAsia="Noto Sans KR" w:hAnsi="Arial" w:cs="Arial"/>
          <w:sz w:val="28"/>
          <w:szCs w:val="22"/>
        </w:rPr>
        <w:t>会</w:t>
      </w:r>
      <w:r w:rsidRPr="00317877">
        <w:rPr>
          <w:rFonts w:ascii="Arial" w:eastAsiaTheme="majorHAnsi" w:hAnsi="Arial" w:cs="Arial"/>
          <w:sz w:val="28"/>
          <w:szCs w:val="22"/>
        </w:rPr>
        <w:t>): Through Ningbo's largest automotive parts association, the two sides agreed to pursue technical cooperation with Gyeongsangbuk-do‘s automotive parts cluster and jointly build global supply chains.</w:t>
      </w:r>
    </w:p>
    <w:p w14:paraId="3ADE7EC3" w14:textId="77777777" w:rsidR="00EC31D8" w:rsidRPr="00317877" w:rsidRDefault="0060319F" w:rsidP="00E92F2E">
      <w:pPr>
        <w:pStyle w:val="a3"/>
        <w:wordWrap/>
        <w:spacing w:line="240" w:lineRule="auto"/>
        <w:ind w:left="440" w:hanging="440"/>
        <w:rPr>
          <w:rFonts w:ascii="Arial" w:eastAsiaTheme="majorHAnsi" w:hAnsi="Arial" w:cs="Arial"/>
          <w:sz w:val="18"/>
          <w:szCs w:val="22"/>
        </w:rPr>
      </w:pPr>
      <w:r w:rsidRPr="00317877">
        <w:rPr>
          <w:rFonts w:ascii="Arial" w:hAnsi="Arial" w:cs="Arial"/>
          <w:sz w:val="28"/>
          <w:szCs w:val="22"/>
        </w:rPr>
        <w:t xml:space="preserve"> ∙ </w:t>
      </w:r>
      <w:r w:rsidRPr="00317877">
        <w:rPr>
          <w:rFonts w:ascii="Arial" w:eastAsiaTheme="majorHAnsi" w:hAnsi="Arial" w:cs="Arial"/>
          <w:sz w:val="28"/>
          <w:szCs w:val="22"/>
        </w:rPr>
        <w:t>Zhejiang Saichuang Weilai Venture Capital Management Co., Ltd. (</w:t>
      </w:r>
      <w:r w:rsidRPr="00317877">
        <w:rPr>
          <w:rFonts w:ascii="Arial" w:eastAsiaTheme="majorHAnsi" w:hAnsi="Arial" w:cs="Arial"/>
          <w:sz w:val="28"/>
          <w:szCs w:val="22"/>
        </w:rPr>
        <w:t>浙江</w:t>
      </w:r>
      <w:r w:rsidRPr="00317877">
        <w:rPr>
          <w:rFonts w:ascii="Arial" w:eastAsia="Microsoft JhengHei" w:hAnsi="Arial" w:cs="Arial"/>
          <w:sz w:val="28"/>
          <w:szCs w:val="22"/>
        </w:rPr>
        <w:t>赛创</w:t>
      </w:r>
      <w:r w:rsidRPr="00317877">
        <w:rPr>
          <w:rFonts w:ascii="Arial" w:eastAsia="맑은 고딕" w:hAnsi="Arial" w:cs="Arial"/>
          <w:sz w:val="28"/>
          <w:szCs w:val="22"/>
        </w:rPr>
        <w:t>未</w:t>
      </w:r>
      <w:r w:rsidRPr="00317877">
        <w:rPr>
          <w:rFonts w:ascii="Arial" w:eastAsia="Noto Sans KR" w:hAnsi="Arial" w:cs="Arial"/>
          <w:sz w:val="28"/>
          <w:szCs w:val="22"/>
        </w:rPr>
        <w:t>来</w:t>
      </w:r>
      <w:r w:rsidRPr="00317877">
        <w:rPr>
          <w:rFonts w:ascii="Arial" w:eastAsia="Microsoft JhengHei" w:hAnsi="Arial" w:cs="Arial"/>
          <w:sz w:val="28"/>
          <w:szCs w:val="22"/>
        </w:rPr>
        <w:t>创业</w:t>
      </w:r>
      <w:r w:rsidRPr="00317877">
        <w:rPr>
          <w:rFonts w:ascii="Arial" w:eastAsia="맑은 고딕" w:hAnsi="Arial" w:cs="Arial"/>
          <w:sz w:val="28"/>
          <w:szCs w:val="22"/>
        </w:rPr>
        <w:t>投</w:t>
      </w:r>
      <w:r w:rsidRPr="00317877">
        <w:rPr>
          <w:rFonts w:ascii="Arial" w:eastAsia="Microsoft JhengHei" w:hAnsi="Arial" w:cs="Arial"/>
          <w:sz w:val="28"/>
          <w:szCs w:val="22"/>
        </w:rPr>
        <w:t>资</w:t>
      </w:r>
      <w:r w:rsidRPr="00317877">
        <w:rPr>
          <w:rFonts w:ascii="Arial" w:eastAsia="맑은 고딕" w:hAnsi="Arial" w:cs="Arial"/>
          <w:sz w:val="28"/>
          <w:szCs w:val="22"/>
        </w:rPr>
        <w:t>管理有限公司</w:t>
      </w:r>
      <w:r w:rsidRPr="00317877">
        <w:rPr>
          <w:rFonts w:ascii="Arial" w:eastAsiaTheme="majorHAnsi" w:hAnsi="Arial" w:cs="Arial"/>
          <w:sz w:val="28"/>
          <w:szCs w:val="22"/>
        </w:rPr>
        <w:t>): As a global startup platform with a database of 400,000 talent profiles, it will serve as a bridgehead for channeling outstanding overseas talent and advanced technology projects into Gyeongsangbuk-do Province.</w:t>
      </w:r>
    </w:p>
    <w:p w14:paraId="3ADE7EC4" w14:textId="77777777" w:rsidR="00EC31D8" w:rsidRPr="00317877" w:rsidRDefault="0060319F" w:rsidP="00E92F2E">
      <w:pPr>
        <w:pStyle w:val="a3"/>
        <w:wordWrap/>
        <w:spacing w:line="240" w:lineRule="auto"/>
        <w:ind w:left="511" w:hanging="511"/>
        <w:rPr>
          <w:rFonts w:ascii="Arial" w:eastAsiaTheme="majorHAnsi" w:hAnsi="Arial" w:cs="Arial"/>
          <w:sz w:val="18"/>
          <w:szCs w:val="22"/>
        </w:rPr>
      </w:pPr>
      <w:r w:rsidRPr="00317877">
        <w:rPr>
          <w:rFonts w:ascii="Arial" w:eastAsiaTheme="majorHAnsi" w:hAnsi="Arial" w:cs="Arial"/>
          <w:sz w:val="28"/>
          <w:szCs w:val="22"/>
        </w:rPr>
        <w:t xml:space="preserve"> ∙ Ningbo Juzhuo Investment Management Co., Ltd. (</w:t>
      </w:r>
      <w:r w:rsidRPr="00317877">
        <w:rPr>
          <w:rFonts w:ascii="Arial" w:eastAsiaTheme="majorHAnsi" w:hAnsi="Arial" w:cs="Arial"/>
          <w:sz w:val="28"/>
          <w:szCs w:val="22"/>
        </w:rPr>
        <w:t>宁波聚卓投</w:t>
      </w:r>
      <w:r w:rsidRPr="00317877">
        <w:rPr>
          <w:rFonts w:ascii="Arial" w:eastAsia="Microsoft JhengHei" w:hAnsi="Arial" w:cs="Arial"/>
          <w:sz w:val="28"/>
          <w:szCs w:val="22"/>
        </w:rPr>
        <w:t>资</w:t>
      </w:r>
      <w:r w:rsidRPr="00317877">
        <w:rPr>
          <w:rFonts w:ascii="Arial" w:eastAsia="맑은 고딕" w:hAnsi="Arial" w:cs="Arial"/>
          <w:sz w:val="28"/>
          <w:szCs w:val="22"/>
        </w:rPr>
        <w:t>管理有限公司</w:t>
      </w:r>
      <w:r w:rsidRPr="00317877">
        <w:rPr>
          <w:rFonts w:ascii="Arial" w:eastAsiaTheme="majorHAnsi" w:hAnsi="Arial" w:cs="Arial"/>
          <w:sz w:val="28"/>
          <w:szCs w:val="22"/>
        </w:rPr>
        <w:t>): As an AI- and semiconductor-focused venture capital (VC) firm, it established a substantial funding partnership to directly invest in promising startups in the province and support their entry into the Chinese market.</w:t>
      </w:r>
    </w:p>
    <w:p w14:paraId="3ADE7EC5" w14:textId="77777777" w:rsidR="00EC31D8" w:rsidRPr="00317877" w:rsidRDefault="0060319F" w:rsidP="00E92F2E">
      <w:pPr>
        <w:pStyle w:val="a3"/>
        <w:wordWrap/>
        <w:spacing w:line="240" w:lineRule="auto"/>
        <w:ind w:left="453" w:hanging="453"/>
        <w:rPr>
          <w:rFonts w:ascii="Arial" w:eastAsiaTheme="majorHAnsi" w:hAnsi="Arial" w:cs="Arial"/>
          <w:sz w:val="18"/>
          <w:szCs w:val="22"/>
        </w:rPr>
      </w:pPr>
      <w:r w:rsidRPr="00317877">
        <w:rPr>
          <w:rFonts w:ascii="Arial" w:eastAsiaTheme="majorHAnsi" w:hAnsi="Arial" w:cs="Arial"/>
          <w:sz w:val="28"/>
          <w:szCs w:val="22"/>
        </w:rPr>
        <w:t xml:space="preserve"> ∙ Guangdong Zhiheng (Ningbo) Law Firm (</w:t>
      </w:r>
      <w:r w:rsidRPr="00317877">
        <w:rPr>
          <w:rFonts w:ascii="Arial" w:eastAsiaTheme="majorHAnsi" w:hAnsi="Arial" w:cs="Arial"/>
          <w:sz w:val="28"/>
          <w:szCs w:val="22"/>
        </w:rPr>
        <w:t>广</w:t>
      </w:r>
      <w:r w:rsidRPr="00317877">
        <w:rPr>
          <w:rFonts w:ascii="Arial" w:eastAsia="Microsoft JhengHei" w:hAnsi="Arial" w:cs="Arial"/>
          <w:sz w:val="28"/>
          <w:szCs w:val="22"/>
        </w:rPr>
        <w:t>东</w:t>
      </w:r>
      <w:r w:rsidRPr="00317877">
        <w:rPr>
          <w:rFonts w:ascii="Arial" w:eastAsia="맑은 고딕" w:hAnsi="Arial" w:cs="Arial"/>
          <w:sz w:val="28"/>
          <w:szCs w:val="22"/>
        </w:rPr>
        <w:t>知恒（宁波）律</w:t>
      </w:r>
      <w:r w:rsidRPr="00317877">
        <w:rPr>
          <w:rFonts w:ascii="Arial" w:eastAsia="Microsoft JhengHei" w:hAnsi="Arial" w:cs="Arial"/>
          <w:sz w:val="28"/>
          <w:szCs w:val="22"/>
        </w:rPr>
        <w:t>师</w:t>
      </w:r>
      <w:r w:rsidRPr="00317877">
        <w:rPr>
          <w:rFonts w:ascii="Arial" w:eastAsia="맑은 고딕" w:hAnsi="Arial" w:cs="Arial"/>
          <w:sz w:val="28"/>
          <w:szCs w:val="22"/>
        </w:rPr>
        <w:t>事</w:t>
      </w:r>
      <w:r w:rsidRPr="00317877">
        <w:rPr>
          <w:rFonts w:ascii="Arial" w:eastAsia="Microsoft JhengHei" w:hAnsi="Arial" w:cs="Arial"/>
          <w:sz w:val="28"/>
          <w:szCs w:val="22"/>
        </w:rPr>
        <w:t>务</w:t>
      </w:r>
      <w:r w:rsidRPr="00317877">
        <w:rPr>
          <w:rFonts w:ascii="Arial" w:eastAsia="맑은 고딕" w:hAnsi="Arial" w:cs="Arial"/>
          <w:sz w:val="28"/>
          <w:szCs w:val="22"/>
        </w:rPr>
        <w:t>所</w:t>
      </w:r>
      <w:r w:rsidRPr="00317877">
        <w:rPr>
          <w:rFonts w:ascii="Arial" w:eastAsiaTheme="majorHAnsi" w:hAnsi="Arial" w:cs="Arial"/>
          <w:sz w:val="28"/>
          <w:szCs w:val="22"/>
        </w:rPr>
        <w:t>): Leveraging the network of a major Chinese law firm, it established an international legal services and compliance support framework for companies investing in Gyeongsangbuk-do Province.</w:t>
      </w:r>
    </w:p>
    <w:p w14:paraId="3ADE7EC6" w14:textId="77777777" w:rsidR="00EC31D8" w:rsidRPr="00317877" w:rsidRDefault="00EC31D8" w:rsidP="00E92F2E">
      <w:pPr>
        <w:pStyle w:val="a3"/>
        <w:wordWrap/>
        <w:spacing w:line="240" w:lineRule="auto"/>
        <w:ind w:left="453" w:hanging="453"/>
        <w:rPr>
          <w:rFonts w:ascii="Arial" w:eastAsiaTheme="majorHAnsi" w:hAnsi="Arial" w:cs="Arial"/>
          <w:sz w:val="28"/>
          <w:szCs w:val="22"/>
        </w:rPr>
      </w:pPr>
    </w:p>
    <w:p w14:paraId="3ADE7EC7" w14:textId="77777777" w:rsidR="00EC31D8" w:rsidRPr="00317877" w:rsidRDefault="0060319F" w:rsidP="00E92F2E">
      <w:pPr>
        <w:pStyle w:val="a3"/>
        <w:wordWrap/>
        <w:spacing w:line="240" w:lineRule="auto"/>
        <w:rPr>
          <w:rFonts w:ascii="Arial" w:eastAsiaTheme="majorHAnsi" w:hAnsi="Arial" w:cs="Arial"/>
          <w:sz w:val="18"/>
          <w:szCs w:val="22"/>
        </w:rPr>
      </w:pPr>
      <w:r w:rsidRPr="00317877">
        <w:rPr>
          <w:rFonts w:ascii="Arial" w:eastAsiaTheme="majorHAnsi" w:hAnsi="Arial" w:cs="Arial"/>
          <w:sz w:val="28"/>
          <w:szCs w:val="22"/>
        </w:rPr>
        <w:t>■ Academic and Investment Leaders: "Gyeongsangbuk-do Is the Ideal Partner for Ningbo Companies Going Overseas"</w:t>
      </w:r>
    </w:p>
    <w:p w14:paraId="3ADE7EC8" w14:textId="77777777" w:rsidR="00EC31D8" w:rsidRPr="00317877" w:rsidRDefault="00EC31D8" w:rsidP="00E92F2E">
      <w:pPr>
        <w:pStyle w:val="a3"/>
        <w:wordWrap/>
        <w:spacing w:line="240" w:lineRule="auto"/>
        <w:rPr>
          <w:rFonts w:ascii="Arial" w:eastAsiaTheme="majorHAnsi" w:hAnsi="Arial" w:cs="Arial"/>
          <w:sz w:val="28"/>
          <w:szCs w:val="22"/>
        </w:rPr>
      </w:pPr>
    </w:p>
    <w:p w14:paraId="3ADE7EC9" w14:textId="77777777" w:rsidR="00EC31D8" w:rsidRPr="00317877" w:rsidRDefault="0060319F" w:rsidP="00E92F2E">
      <w:pPr>
        <w:pStyle w:val="a3"/>
        <w:wordWrap/>
        <w:spacing w:line="240" w:lineRule="auto"/>
        <w:rPr>
          <w:rFonts w:ascii="Arial" w:eastAsiaTheme="majorHAnsi" w:hAnsi="Arial" w:cs="Arial"/>
          <w:sz w:val="18"/>
          <w:szCs w:val="22"/>
        </w:rPr>
      </w:pPr>
      <w:r w:rsidRPr="00317877">
        <w:rPr>
          <w:rFonts w:ascii="Arial" w:eastAsiaTheme="majorHAnsi" w:hAnsi="Arial" w:cs="Arial"/>
          <w:sz w:val="28"/>
          <w:szCs w:val="22"/>
        </w:rPr>
        <w:t>At the "Korea-China Industrial Cooperation Forum" held on the 15th, experts offered in-depth recommendations on how Ningbo's innovation capabilities could be leveraged in collaboration with Gyeongsangbuk-do.</w:t>
      </w:r>
    </w:p>
    <w:p w14:paraId="3ADE7ECA" w14:textId="77777777" w:rsidR="00EC31D8" w:rsidRPr="00317877" w:rsidRDefault="0060319F" w:rsidP="00E92F2E">
      <w:pPr>
        <w:pStyle w:val="a3"/>
        <w:wordWrap/>
        <w:spacing w:line="240" w:lineRule="auto"/>
        <w:rPr>
          <w:rFonts w:ascii="Arial" w:eastAsiaTheme="majorHAnsi" w:hAnsi="Arial" w:cs="Arial"/>
          <w:sz w:val="18"/>
          <w:szCs w:val="22"/>
        </w:rPr>
      </w:pPr>
      <w:r w:rsidRPr="00317877">
        <w:rPr>
          <w:rFonts w:ascii="Arial" w:eastAsiaTheme="majorHAnsi" w:hAnsi="Arial" w:cs="Arial"/>
          <w:sz w:val="28"/>
          <w:szCs w:val="22"/>
        </w:rPr>
        <w:t>Among the roundtable participants, Xi Chuanwu (</w:t>
      </w:r>
      <w:r w:rsidRPr="00317877">
        <w:rPr>
          <w:rFonts w:ascii="Arial" w:eastAsiaTheme="majorHAnsi" w:hAnsi="Arial" w:cs="Arial"/>
          <w:sz w:val="28"/>
          <w:szCs w:val="22"/>
        </w:rPr>
        <w:t>奚</w:t>
      </w:r>
      <w:r w:rsidRPr="00317877">
        <w:rPr>
          <w:rFonts w:ascii="Arial" w:eastAsia="Microsoft JhengHei" w:hAnsi="Arial" w:cs="Arial"/>
          <w:sz w:val="28"/>
          <w:szCs w:val="22"/>
        </w:rPr>
        <w:t>传</w:t>
      </w:r>
      <w:r w:rsidRPr="00317877">
        <w:rPr>
          <w:rFonts w:ascii="Arial" w:eastAsia="맑은 고딕" w:hAnsi="Arial" w:cs="Arial"/>
          <w:sz w:val="28"/>
          <w:szCs w:val="22"/>
        </w:rPr>
        <w:t>武</w:t>
      </w:r>
      <w:r w:rsidRPr="00317877">
        <w:rPr>
          <w:rFonts w:ascii="Arial" w:hAnsi="Arial" w:cs="Arial"/>
          <w:sz w:val="28"/>
          <w:szCs w:val="22"/>
        </w:rPr>
        <w:t>), Chair Professor at Ningbo Tech University (and a former tenured professor at the University of Michigan), presented potential avenues for technical cooperation in the environmental and health sectors. Zhou Haibo (</w:t>
      </w:r>
      <w:r w:rsidRPr="00317877">
        <w:rPr>
          <w:rFonts w:ascii="Arial" w:hAnsi="Arial" w:cs="Arial"/>
          <w:sz w:val="28"/>
          <w:szCs w:val="22"/>
        </w:rPr>
        <w:t>周海波</w:t>
      </w:r>
      <w:r w:rsidRPr="00317877">
        <w:rPr>
          <w:rFonts w:ascii="Arial" w:hAnsi="Arial" w:cs="Arial"/>
          <w:sz w:val="28"/>
          <w:szCs w:val="22"/>
        </w:rPr>
        <w:t>), an Associate Professor at the University of Nottingham Ningbo China, highlighted the strengths of Gyeongsangbuk-do's infrastructure in supporting startups' internationalization strategies. Qiu Jinbang (</w:t>
      </w:r>
      <w:r w:rsidRPr="00317877">
        <w:rPr>
          <w:rFonts w:ascii="Arial" w:hAnsi="Arial" w:cs="Arial"/>
          <w:sz w:val="28"/>
          <w:szCs w:val="22"/>
        </w:rPr>
        <w:t>裘金邦</w:t>
      </w:r>
      <w:r w:rsidRPr="00317877">
        <w:rPr>
          <w:rFonts w:ascii="Arial" w:hAnsi="Arial" w:cs="Arial"/>
          <w:sz w:val="28"/>
          <w:szCs w:val="22"/>
        </w:rPr>
        <w:t>), Vice President of Juzhuo Capital and a next-generation investor featured by Forbes China, emphasized the need to establish Korea-China joint funds and expand investment in advanced technology fields.</w:t>
      </w:r>
    </w:p>
    <w:p w14:paraId="3ADE7ECB" w14:textId="77777777" w:rsidR="00EC31D8" w:rsidRPr="00317877" w:rsidRDefault="00EC31D8" w:rsidP="00E92F2E">
      <w:pPr>
        <w:pStyle w:val="a3"/>
        <w:wordWrap/>
        <w:spacing w:line="240" w:lineRule="auto"/>
        <w:rPr>
          <w:rFonts w:ascii="Arial" w:eastAsiaTheme="majorHAnsi" w:hAnsi="Arial" w:cs="Arial"/>
          <w:sz w:val="28"/>
          <w:szCs w:val="22"/>
        </w:rPr>
      </w:pPr>
    </w:p>
    <w:p w14:paraId="3ADE7ECC" w14:textId="77777777" w:rsidR="00EC31D8" w:rsidRPr="00317877" w:rsidRDefault="0060319F" w:rsidP="00E92F2E">
      <w:pPr>
        <w:pStyle w:val="a3"/>
        <w:wordWrap/>
        <w:spacing w:line="240" w:lineRule="auto"/>
        <w:rPr>
          <w:rFonts w:ascii="Arial" w:eastAsiaTheme="majorHAnsi" w:hAnsi="Arial" w:cs="Arial"/>
          <w:sz w:val="18"/>
          <w:szCs w:val="22"/>
        </w:rPr>
      </w:pPr>
      <w:r w:rsidRPr="00317877">
        <w:rPr>
          <w:rFonts w:ascii="Arial" w:eastAsiaTheme="majorHAnsi" w:hAnsi="Arial" w:cs="Arial"/>
          <w:sz w:val="28"/>
          <w:szCs w:val="22"/>
        </w:rPr>
        <w:t>■ A Record-Breaking Sales Campaign Spanning Shanghai-Ningbo-Shenzhen</w:t>
      </w:r>
    </w:p>
    <w:p w14:paraId="3ADE7ECD" w14:textId="77777777" w:rsidR="00EC31D8" w:rsidRPr="00317877" w:rsidRDefault="00EC31D8" w:rsidP="00E92F2E">
      <w:pPr>
        <w:pStyle w:val="a3"/>
        <w:wordWrap/>
        <w:spacing w:line="240" w:lineRule="auto"/>
        <w:rPr>
          <w:rFonts w:ascii="Arial" w:eastAsiaTheme="majorHAnsi" w:hAnsi="Arial" w:cs="Arial"/>
          <w:sz w:val="28"/>
          <w:szCs w:val="22"/>
        </w:rPr>
      </w:pPr>
    </w:p>
    <w:p w14:paraId="3ADE7ECE" w14:textId="77777777" w:rsidR="00EC31D8" w:rsidRPr="00317877" w:rsidRDefault="0060319F" w:rsidP="00E92F2E">
      <w:pPr>
        <w:pStyle w:val="a3"/>
        <w:wordWrap/>
        <w:spacing w:line="240" w:lineRule="auto"/>
        <w:rPr>
          <w:rFonts w:ascii="Arial" w:eastAsiaTheme="majorHAnsi" w:hAnsi="Arial" w:cs="Arial"/>
          <w:sz w:val="18"/>
          <w:szCs w:val="22"/>
        </w:rPr>
      </w:pPr>
      <w:r w:rsidRPr="00317877">
        <w:rPr>
          <w:rFonts w:ascii="Arial" w:eastAsiaTheme="majorHAnsi" w:hAnsi="Arial" w:cs="Arial"/>
          <w:sz w:val="28"/>
          <w:szCs w:val="22"/>
        </w:rPr>
        <w:t xml:space="preserve">About 100 business figures from Ningbo's core industries—secondary </w:t>
      </w:r>
      <w:r w:rsidRPr="00317877">
        <w:rPr>
          <w:rFonts w:ascii="Arial" w:eastAsiaTheme="majorHAnsi" w:hAnsi="Arial" w:cs="Arial"/>
          <w:sz w:val="28"/>
          <w:szCs w:val="22"/>
        </w:rPr>
        <w:lastRenderedPageBreak/>
        <w:t>batteries, e-commerce, and manufacturing—attended the briefing, showing strong interest in Gyeongsangbuk-do’s investment environment. Officials from Gyeongsangbuk-do Province and the cities of Pohang, Gyeongju, and Gumi generated tangible business opportunities through on-site one-on-one consultations. Company introductions and investment consultations then continued with ISON Co., Ltd., a Pohang-based ICT-driven video intelligence solution drone company; DSC Co., Ltd., a Gyeongju-based automotive parts company; SEA Mechanics Co., Ltd., a Gumi-based electric vehicle and automotive battery parts company; and UWBTECH Co., Ltd., a Gimcheon-based high-frequency power amplifier company for telecommunications—drawing strong interest from Chinese business leaders.</w:t>
      </w:r>
    </w:p>
    <w:p w14:paraId="3ADE7ECF" w14:textId="77777777" w:rsidR="00EC31D8" w:rsidRPr="00317877" w:rsidRDefault="0060319F" w:rsidP="00E92F2E">
      <w:pPr>
        <w:pStyle w:val="a3"/>
        <w:wordWrap/>
        <w:spacing w:line="240" w:lineRule="auto"/>
        <w:rPr>
          <w:rFonts w:ascii="Arial" w:eastAsiaTheme="majorHAnsi" w:hAnsi="Arial" w:cs="Arial"/>
          <w:sz w:val="18"/>
          <w:szCs w:val="22"/>
        </w:rPr>
      </w:pPr>
      <w:r w:rsidRPr="00317877">
        <w:rPr>
          <w:rFonts w:ascii="Arial" w:eastAsiaTheme="majorHAnsi" w:hAnsi="Arial" w:cs="Arial"/>
          <w:sz w:val="28"/>
          <w:szCs w:val="22"/>
        </w:rPr>
        <w:t>Yang Geum-hee, Vice Governor for Economic Affairs of Gyeongsangbuk-do Province, stated, "We have elevated the keen interest in Korean investment that we confirmed in Shanghai into concrete industrial cooperation models in Ningbo." She added, "Through attracting future-oriented industries such as automotive parts and humanoid robots, we will make Gyeongsangbuk-do an irreplaceable core hub for Northeast Asian industrial cooperation."</w:t>
      </w:r>
    </w:p>
    <w:p w14:paraId="3ADE7ED0" w14:textId="77777777" w:rsidR="00EC31D8" w:rsidRPr="00317877" w:rsidRDefault="00EC31D8" w:rsidP="00E92F2E">
      <w:pPr>
        <w:pStyle w:val="a3"/>
        <w:wordWrap/>
        <w:spacing w:line="240" w:lineRule="auto"/>
        <w:rPr>
          <w:rFonts w:ascii="Arial" w:eastAsiaTheme="majorHAnsi" w:hAnsi="Arial" w:cs="Arial"/>
          <w:sz w:val="28"/>
          <w:szCs w:val="22"/>
        </w:rPr>
      </w:pPr>
    </w:p>
    <w:p w14:paraId="3ADE7ED1" w14:textId="77777777" w:rsidR="00EC31D8" w:rsidRPr="00317877" w:rsidRDefault="0060319F" w:rsidP="00E92F2E">
      <w:pPr>
        <w:pStyle w:val="a3"/>
        <w:wordWrap/>
        <w:spacing w:line="240" w:lineRule="auto"/>
        <w:rPr>
          <w:rFonts w:ascii="Arial" w:eastAsiaTheme="majorHAnsi" w:hAnsi="Arial" w:cs="Arial"/>
          <w:sz w:val="18"/>
          <w:szCs w:val="22"/>
        </w:rPr>
      </w:pPr>
      <w:r w:rsidRPr="00317877">
        <w:rPr>
          <w:rFonts w:ascii="Arial" w:eastAsiaTheme="majorHAnsi" w:hAnsi="Arial" w:cs="Arial"/>
          <w:sz w:val="28"/>
          <w:szCs w:val="22"/>
        </w:rPr>
        <w:t>Meanwhile, having secured back-to-back investment promotion wins in Shanghai and Ningbo, Gyeongsangbuk-do Province will head to Shenzhen (</w:t>
      </w:r>
      <w:r w:rsidRPr="00317877">
        <w:rPr>
          <w:rFonts w:ascii="Arial" w:eastAsiaTheme="majorHAnsi" w:hAnsi="Arial" w:cs="Arial"/>
          <w:sz w:val="28"/>
          <w:szCs w:val="22"/>
        </w:rPr>
        <w:t>深</w:t>
      </w:r>
      <w:r w:rsidRPr="00317877">
        <w:rPr>
          <w:rFonts w:ascii="Arial" w:eastAsia="Microsoft JhengHei" w:hAnsi="Arial" w:cs="Arial"/>
          <w:sz w:val="28"/>
          <w:szCs w:val="22"/>
        </w:rPr>
        <w:t>圳</w:t>
      </w:r>
      <w:r w:rsidRPr="00317877">
        <w:rPr>
          <w:rFonts w:ascii="Arial" w:eastAsiaTheme="majorHAnsi" w:hAnsi="Arial" w:cs="Arial"/>
          <w:sz w:val="28"/>
          <w:szCs w:val="22"/>
        </w:rPr>
        <w:t>)—the Silicon Valley of southern China—on the 16th to hold the "Post-APEC Gyeongsangbuk-do &amp; China Investment Forum," capping off its all-out investment promotion campaign across China's major coastal cities.</w:t>
      </w:r>
    </w:p>
    <w:sectPr w:rsidR="00EC31D8" w:rsidRPr="00317877">
      <w:endnotePr>
        <w:numFmt w:val="decimal"/>
      </w:endnotePr>
      <w:pgSz w:w="11906" w:h="16838"/>
      <w:pgMar w:top="1500" w:right="1134" w:bottom="1701" w:left="1134" w:header="850" w:footer="850"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1BA9ED" w14:textId="77777777" w:rsidR="00FE4FF5" w:rsidRDefault="00FE4FF5" w:rsidP="00D60B7B">
      <w:pPr>
        <w:spacing w:after="0"/>
      </w:pPr>
      <w:r>
        <w:separator/>
      </w:r>
    </w:p>
  </w:endnote>
  <w:endnote w:type="continuationSeparator" w:id="0">
    <w:p w14:paraId="5FE89294" w14:textId="77777777" w:rsidR="00FE4FF5" w:rsidRDefault="00FE4FF5" w:rsidP="00D60B7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anumGothic">
    <w:charset w:val="81"/>
    <w:family w:val="auto"/>
    <w:pitch w:val="variable"/>
    <w:sig w:usb0="80000003" w:usb1="09D7FCEB" w:usb2="00000010" w:usb3="00000000" w:csb0="00080001"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휴먼명조">
    <w:panose1 w:val="02010504000101010101"/>
    <w:charset w:val="81"/>
    <w:family w:val="auto"/>
    <w:pitch w:val="variable"/>
    <w:sig w:usb0="800002A7" w:usb1="19D77CFB" w:usb2="00000010" w:usb3="00000000" w:csb0="00080000" w:csb1="00000000"/>
  </w:font>
  <w:font w:name="한양신명조">
    <w:panose1 w:val="00000000000000000000"/>
    <w:charset w:val="81"/>
    <w:family w:val="roman"/>
    <w:notTrueType/>
    <w:pitch w:val="default"/>
  </w:font>
  <w:font w:name="산세리프">
    <w:panose1 w:val="00000000000000000000"/>
    <w:charset w:val="81"/>
    <w:family w:val="roman"/>
    <w:notTrueType/>
    <w:pitch w:val="default"/>
  </w:font>
  <w:font w:name="HY중고딕">
    <w:panose1 w:val="02030600000101010101"/>
    <w:charset w:val="81"/>
    <w:family w:val="roman"/>
    <w:pitch w:val="variable"/>
    <w:sig w:usb0="900002A7" w:usb1="29D77CF9" w:usb2="00000010" w:usb3="00000000" w:csb0="00080000" w:csb1="00000000"/>
  </w:font>
  <w:font w:name="돋움">
    <w:altName w:val="Dotum"/>
    <w:panose1 w:val="020B0600000101010101"/>
    <w:charset w:val="81"/>
    <w:family w:val="modern"/>
    <w:pitch w:val="variable"/>
    <w:sig w:usb0="B00002AF" w:usb1="69D77CFB" w:usb2="00000030" w:usb3="00000000" w:csb0="0008009F" w:csb1="00000000"/>
  </w:font>
  <w:font w:name="Arial-BoldMT">
    <w:panose1 w:val="00000000000000000000"/>
    <w:charset w:val="00"/>
    <w:family w:val="roman"/>
    <w:notTrueType/>
    <w:pitch w:val="default"/>
  </w:font>
  <w:font w:name="굴림체">
    <w:panose1 w:val="020B0609000101010101"/>
    <w:charset w:val="81"/>
    <w:family w:val="modern"/>
    <w:pitch w:val="fixed"/>
    <w:sig w:usb0="B00002AF" w:usb1="69D77CFB" w:usb2="00000030" w:usb3="00000000" w:csb0="0008009F" w:csb1="00000000"/>
  </w:font>
  <w:font w:name="Microsoft JhengHei">
    <w:panose1 w:val="020B0604030504040204"/>
    <w:charset w:val="88"/>
    <w:family w:val="swiss"/>
    <w:pitch w:val="variable"/>
    <w:sig w:usb0="000002A7" w:usb1="28CF4400" w:usb2="00000016" w:usb3="00000000" w:csb0="00100009" w:csb1="00000000"/>
  </w:font>
  <w:font w:name="Noto Sans KR">
    <w:panose1 w:val="020B0200000000000000"/>
    <w:charset w:val="81"/>
    <w:family w:val="modern"/>
    <w:pitch w:val="variable"/>
    <w:sig w:usb0="30000287" w:usb1="2BDF3C10" w:usb2="00000016" w:usb3="00000000" w:csb0="002E010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569EED" w14:textId="77777777" w:rsidR="00FE4FF5" w:rsidRDefault="00FE4FF5" w:rsidP="00D60B7B">
      <w:pPr>
        <w:spacing w:after="0"/>
      </w:pPr>
      <w:r>
        <w:separator/>
      </w:r>
    </w:p>
  </w:footnote>
  <w:footnote w:type="continuationSeparator" w:id="0">
    <w:p w14:paraId="377E764E" w14:textId="77777777" w:rsidR="00FE4FF5" w:rsidRDefault="00FE4FF5" w:rsidP="00D60B7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B4773"/>
    <w:multiLevelType w:val="multilevel"/>
    <w:tmpl w:val="7A4C3E02"/>
    <w:lvl w:ilvl="0">
      <w:start w:val="1"/>
      <w:numFmt w:val="decimal"/>
      <w:pStyle w:val="1"/>
      <w:suff w:val="space"/>
      <w:lvlText w:val="%1."/>
      <w:lvlJc w:val="left"/>
    </w:lvl>
    <w:lvl w:ilvl="1">
      <w:start w:val="1"/>
      <w:numFmt w:val="decimal"/>
      <w:suff w:val="space"/>
      <w:lvlText w:val="%1.%2."/>
      <w:lvlJc w:val="left"/>
    </w:lvl>
    <w:lvl w:ilvl="2">
      <w:start w:val="1"/>
      <w:numFmt w:val="decimal"/>
      <w:suff w:val="space"/>
      <w:lvlText w:val="%1.%2.%3."/>
      <w:lvlJc w:val="left"/>
    </w:lvl>
    <w:lvl w:ilvl="3">
      <w:start w:val="1"/>
      <w:numFmt w:val="decimal"/>
      <w:suff w:val="space"/>
      <w:lvlText w:val="%1.%2.%3.%4."/>
      <w:lvlJc w:val="left"/>
    </w:lvl>
    <w:lvl w:ilvl="4">
      <w:start w:val="1"/>
      <w:numFmt w:val="decimal"/>
      <w:suff w:val="space"/>
      <w:lvlText w:val="%1.%2.%3.%4.%5."/>
      <w:lvlJc w:val="left"/>
    </w:lvl>
    <w:lvl w:ilvl="5">
      <w:start w:val="1"/>
      <w:numFmt w:val="decimal"/>
      <w:suff w:val="space"/>
      <w:lvlText w:val="%1.%2.%3.%4.%5.%6."/>
      <w:lvlJc w:val="left"/>
    </w:lvl>
    <w:lvl w:ilvl="6">
      <w:start w:val="1"/>
      <w:numFmt w:val="decimal"/>
      <w:suff w:val="space"/>
      <w:lvlText w:val="%1.%2.%3.%4.%5.%6.%7."/>
      <w:lvlJc w:val="left"/>
    </w:lvl>
    <w:lvl w:ilvl="7">
      <w:start w:val="1"/>
      <w:numFmt w:val="decimal"/>
      <w:suff w:val="nothing"/>
      <w:lvlText w:val=""/>
      <w:lvlJc w:val="left"/>
      <w:rPr>
        <w:rFonts w:ascii="NanumGothic" w:eastAsia="NanumGothic" w:hAnsi="NanumGothic"/>
        <w:color w:val="000000"/>
        <w:sz w:val="20"/>
      </w:rPr>
    </w:lvl>
    <w:lvl w:ilvl="8">
      <w:start w:val="1"/>
      <w:numFmt w:val="decimal"/>
      <w:suff w:val="nothing"/>
      <w:lvlText w:val=""/>
      <w:lvlJc w:val="left"/>
      <w:rPr>
        <w:rFonts w:ascii="NanumGothic" w:eastAsia="NanumGothic" w:hAnsi="NanumGothic"/>
        <w:color w:val="000000"/>
        <w:sz w:val="20"/>
      </w:rPr>
    </w:lvl>
  </w:abstractNum>
  <w:abstractNum w:abstractNumId="1" w15:restartNumberingAfterBreak="0">
    <w:nsid w:val="0FC47EFD"/>
    <w:multiLevelType w:val="multilevel"/>
    <w:tmpl w:val="26247A6C"/>
    <w:lvl w:ilvl="0">
      <w:start w:val="1"/>
      <w:numFmt w:val="decimal"/>
      <w:suff w:val="space"/>
      <w:lvlText w:val="%1."/>
      <w:lvlJc w:val="left"/>
    </w:lvl>
    <w:lvl w:ilvl="1">
      <w:start w:val="1"/>
      <w:numFmt w:val="decimal"/>
      <w:suff w:val="space"/>
      <w:lvlText w:val="%1.%2."/>
      <w:lvlJc w:val="left"/>
    </w:lvl>
    <w:lvl w:ilvl="2">
      <w:start w:val="1"/>
      <w:numFmt w:val="decimal"/>
      <w:suff w:val="space"/>
      <w:lvlText w:val="%1.%2.%3."/>
      <w:lvlJc w:val="left"/>
    </w:lvl>
    <w:lvl w:ilvl="3">
      <w:start w:val="1"/>
      <w:numFmt w:val="decimal"/>
      <w:pStyle w:val="4"/>
      <w:suff w:val="space"/>
      <w:lvlText w:val="%1.%2.%3.%4."/>
      <w:lvlJc w:val="left"/>
    </w:lvl>
    <w:lvl w:ilvl="4">
      <w:start w:val="1"/>
      <w:numFmt w:val="decimal"/>
      <w:suff w:val="space"/>
      <w:lvlText w:val="%1.%2.%3.%4.%5."/>
      <w:lvlJc w:val="left"/>
    </w:lvl>
    <w:lvl w:ilvl="5">
      <w:start w:val="1"/>
      <w:numFmt w:val="decimal"/>
      <w:suff w:val="space"/>
      <w:lvlText w:val="%1.%2.%3.%4.%5.%6."/>
      <w:lvlJc w:val="left"/>
    </w:lvl>
    <w:lvl w:ilvl="6">
      <w:start w:val="1"/>
      <w:numFmt w:val="decimal"/>
      <w:suff w:val="space"/>
      <w:lvlText w:val="%1.%2.%3.%4.%5.%6.%7."/>
      <w:lvlJc w:val="left"/>
    </w:lvl>
    <w:lvl w:ilvl="7">
      <w:start w:val="1"/>
      <w:numFmt w:val="decimal"/>
      <w:suff w:val="nothing"/>
      <w:lvlText w:val=""/>
      <w:lvlJc w:val="left"/>
      <w:rPr>
        <w:rFonts w:ascii="NanumGothic" w:eastAsia="NanumGothic" w:hAnsi="NanumGothic"/>
        <w:color w:val="000000"/>
        <w:sz w:val="20"/>
      </w:rPr>
    </w:lvl>
    <w:lvl w:ilvl="8">
      <w:start w:val="1"/>
      <w:numFmt w:val="decimal"/>
      <w:suff w:val="nothing"/>
      <w:lvlText w:val=""/>
      <w:lvlJc w:val="left"/>
      <w:rPr>
        <w:rFonts w:ascii="NanumGothic" w:eastAsia="NanumGothic" w:hAnsi="NanumGothic"/>
        <w:color w:val="000000"/>
        <w:sz w:val="20"/>
      </w:rPr>
    </w:lvl>
  </w:abstractNum>
  <w:abstractNum w:abstractNumId="2" w15:restartNumberingAfterBreak="0">
    <w:nsid w:val="43E1507D"/>
    <w:multiLevelType w:val="multilevel"/>
    <w:tmpl w:val="0F300F36"/>
    <w:lvl w:ilvl="0">
      <w:start w:val="1"/>
      <w:numFmt w:val="decimal"/>
      <w:suff w:val="space"/>
      <w:lvlText w:val="%1."/>
      <w:lvlJc w:val="left"/>
    </w:lvl>
    <w:lvl w:ilvl="1">
      <w:start w:val="1"/>
      <w:numFmt w:val="decimal"/>
      <w:pStyle w:val="2"/>
      <w:suff w:val="space"/>
      <w:lvlText w:val="%1.%2."/>
      <w:lvlJc w:val="left"/>
    </w:lvl>
    <w:lvl w:ilvl="2">
      <w:start w:val="1"/>
      <w:numFmt w:val="decimal"/>
      <w:suff w:val="space"/>
      <w:lvlText w:val="%1.%2.%3."/>
      <w:lvlJc w:val="left"/>
    </w:lvl>
    <w:lvl w:ilvl="3">
      <w:start w:val="1"/>
      <w:numFmt w:val="decimal"/>
      <w:suff w:val="space"/>
      <w:lvlText w:val="%1.%2.%3.%4."/>
      <w:lvlJc w:val="left"/>
    </w:lvl>
    <w:lvl w:ilvl="4">
      <w:start w:val="1"/>
      <w:numFmt w:val="decimal"/>
      <w:suff w:val="space"/>
      <w:lvlText w:val="%1.%2.%3.%4.%5."/>
      <w:lvlJc w:val="left"/>
    </w:lvl>
    <w:lvl w:ilvl="5">
      <w:start w:val="1"/>
      <w:numFmt w:val="decimal"/>
      <w:suff w:val="space"/>
      <w:lvlText w:val="%1.%2.%3.%4.%5.%6."/>
      <w:lvlJc w:val="left"/>
    </w:lvl>
    <w:lvl w:ilvl="6">
      <w:start w:val="1"/>
      <w:numFmt w:val="decimal"/>
      <w:suff w:val="space"/>
      <w:lvlText w:val="%1.%2.%3.%4.%5.%6.%7."/>
      <w:lvlJc w:val="left"/>
    </w:lvl>
    <w:lvl w:ilvl="7">
      <w:start w:val="1"/>
      <w:numFmt w:val="decimal"/>
      <w:suff w:val="nothing"/>
      <w:lvlText w:val=""/>
      <w:lvlJc w:val="left"/>
      <w:rPr>
        <w:rFonts w:ascii="NanumGothic" w:eastAsia="NanumGothic" w:hAnsi="NanumGothic"/>
        <w:color w:val="000000"/>
        <w:sz w:val="20"/>
      </w:rPr>
    </w:lvl>
    <w:lvl w:ilvl="8">
      <w:start w:val="1"/>
      <w:numFmt w:val="decimal"/>
      <w:suff w:val="nothing"/>
      <w:lvlText w:val=""/>
      <w:lvlJc w:val="left"/>
      <w:rPr>
        <w:rFonts w:ascii="NanumGothic" w:eastAsia="NanumGothic" w:hAnsi="NanumGothic"/>
        <w:color w:val="000000"/>
        <w:sz w:val="20"/>
      </w:rPr>
    </w:lvl>
  </w:abstractNum>
  <w:abstractNum w:abstractNumId="3" w15:restartNumberingAfterBreak="0">
    <w:nsid w:val="56843E99"/>
    <w:multiLevelType w:val="multilevel"/>
    <w:tmpl w:val="7062CD82"/>
    <w:lvl w:ilvl="0">
      <w:start w:val="1"/>
      <w:numFmt w:val="decimal"/>
      <w:suff w:val="space"/>
      <w:lvlText w:val="%1."/>
      <w:lvlJc w:val="left"/>
    </w:lvl>
    <w:lvl w:ilvl="1">
      <w:start w:val="1"/>
      <w:numFmt w:val="decimal"/>
      <w:suff w:val="space"/>
      <w:lvlText w:val="%1.%2."/>
      <w:lvlJc w:val="left"/>
    </w:lvl>
    <w:lvl w:ilvl="2">
      <w:start w:val="1"/>
      <w:numFmt w:val="decimal"/>
      <w:suff w:val="space"/>
      <w:lvlText w:val="%1.%2.%3."/>
      <w:lvlJc w:val="left"/>
    </w:lvl>
    <w:lvl w:ilvl="3">
      <w:start w:val="1"/>
      <w:numFmt w:val="decimal"/>
      <w:suff w:val="space"/>
      <w:lvlText w:val="%1.%2.%3.%4."/>
      <w:lvlJc w:val="left"/>
    </w:lvl>
    <w:lvl w:ilvl="4">
      <w:start w:val="1"/>
      <w:numFmt w:val="decimal"/>
      <w:suff w:val="space"/>
      <w:lvlText w:val="%1.%2.%3.%4.%5."/>
      <w:lvlJc w:val="left"/>
    </w:lvl>
    <w:lvl w:ilvl="5">
      <w:start w:val="1"/>
      <w:numFmt w:val="decimal"/>
      <w:suff w:val="space"/>
      <w:lvlText w:val="%1.%2.%3.%4.%5.%6."/>
      <w:lvlJc w:val="left"/>
    </w:lvl>
    <w:lvl w:ilvl="6">
      <w:start w:val="1"/>
      <w:numFmt w:val="decimal"/>
      <w:pStyle w:val="7"/>
      <w:suff w:val="space"/>
      <w:lvlText w:val="%1.%2.%3.%4.%5.%6.%7."/>
      <w:lvlJc w:val="left"/>
    </w:lvl>
    <w:lvl w:ilvl="7">
      <w:start w:val="1"/>
      <w:numFmt w:val="decimal"/>
      <w:suff w:val="nothing"/>
      <w:lvlText w:val=""/>
      <w:lvlJc w:val="left"/>
      <w:rPr>
        <w:rFonts w:ascii="NanumGothic" w:eastAsia="NanumGothic" w:hAnsi="NanumGothic"/>
        <w:color w:val="000000"/>
        <w:sz w:val="20"/>
      </w:rPr>
    </w:lvl>
    <w:lvl w:ilvl="8">
      <w:start w:val="1"/>
      <w:numFmt w:val="decimal"/>
      <w:suff w:val="nothing"/>
      <w:lvlText w:val=""/>
      <w:lvlJc w:val="left"/>
      <w:rPr>
        <w:rFonts w:ascii="NanumGothic" w:eastAsia="NanumGothic" w:hAnsi="NanumGothic"/>
        <w:color w:val="000000"/>
        <w:sz w:val="20"/>
      </w:rPr>
    </w:lvl>
  </w:abstractNum>
  <w:abstractNum w:abstractNumId="4" w15:restartNumberingAfterBreak="0">
    <w:nsid w:val="57115DC3"/>
    <w:multiLevelType w:val="multilevel"/>
    <w:tmpl w:val="AE4072BA"/>
    <w:lvl w:ilvl="0">
      <w:start w:val="1"/>
      <w:numFmt w:val="decimal"/>
      <w:suff w:val="space"/>
      <w:lvlText w:val="%1."/>
      <w:lvlJc w:val="left"/>
    </w:lvl>
    <w:lvl w:ilvl="1">
      <w:start w:val="1"/>
      <w:numFmt w:val="decimal"/>
      <w:suff w:val="space"/>
      <w:lvlText w:val="%1.%2."/>
      <w:lvlJc w:val="left"/>
    </w:lvl>
    <w:lvl w:ilvl="2">
      <w:start w:val="1"/>
      <w:numFmt w:val="decimal"/>
      <w:suff w:val="space"/>
      <w:lvlText w:val="%1.%2.%3."/>
      <w:lvlJc w:val="left"/>
    </w:lvl>
    <w:lvl w:ilvl="3">
      <w:start w:val="1"/>
      <w:numFmt w:val="decimal"/>
      <w:suff w:val="space"/>
      <w:lvlText w:val="%1.%2.%3.%4."/>
      <w:lvlJc w:val="left"/>
    </w:lvl>
    <w:lvl w:ilvl="4">
      <w:start w:val="1"/>
      <w:numFmt w:val="decimal"/>
      <w:pStyle w:val="5"/>
      <w:suff w:val="space"/>
      <w:lvlText w:val="%1.%2.%3.%4.%5."/>
      <w:lvlJc w:val="left"/>
    </w:lvl>
    <w:lvl w:ilvl="5">
      <w:start w:val="1"/>
      <w:numFmt w:val="decimal"/>
      <w:suff w:val="space"/>
      <w:lvlText w:val="%1.%2.%3.%4.%5.%6."/>
      <w:lvlJc w:val="left"/>
    </w:lvl>
    <w:lvl w:ilvl="6">
      <w:start w:val="1"/>
      <w:numFmt w:val="decimal"/>
      <w:suff w:val="space"/>
      <w:lvlText w:val="%1.%2.%3.%4.%5.%6.%7."/>
      <w:lvlJc w:val="left"/>
    </w:lvl>
    <w:lvl w:ilvl="7">
      <w:start w:val="1"/>
      <w:numFmt w:val="decimal"/>
      <w:suff w:val="nothing"/>
      <w:lvlText w:val=""/>
      <w:lvlJc w:val="left"/>
      <w:rPr>
        <w:rFonts w:ascii="NanumGothic" w:eastAsia="NanumGothic" w:hAnsi="NanumGothic"/>
        <w:color w:val="000000"/>
        <w:sz w:val="20"/>
      </w:rPr>
    </w:lvl>
    <w:lvl w:ilvl="8">
      <w:start w:val="1"/>
      <w:numFmt w:val="decimal"/>
      <w:suff w:val="nothing"/>
      <w:lvlText w:val=""/>
      <w:lvlJc w:val="left"/>
      <w:rPr>
        <w:rFonts w:ascii="NanumGothic" w:eastAsia="NanumGothic" w:hAnsi="NanumGothic"/>
        <w:color w:val="000000"/>
        <w:sz w:val="20"/>
      </w:rPr>
    </w:lvl>
  </w:abstractNum>
  <w:abstractNum w:abstractNumId="5" w15:restartNumberingAfterBreak="0">
    <w:nsid w:val="629F4A98"/>
    <w:multiLevelType w:val="multilevel"/>
    <w:tmpl w:val="F0F816A2"/>
    <w:lvl w:ilvl="0">
      <w:start w:val="1"/>
      <w:numFmt w:val="decimal"/>
      <w:suff w:val="space"/>
      <w:lvlText w:val="%1."/>
      <w:lvlJc w:val="left"/>
    </w:lvl>
    <w:lvl w:ilvl="1">
      <w:start w:val="1"/>
      <w:numFmt w:val="decimal"/>
      <w:suff w:val="space"/>
      <w:lvlText w:val="%1.%2."/>
      <w:lvlJc w:val="left"/>
    </w:lvl>
    <w:lvl w:ilvl="2">
      <w:start w:val="1"/>
      <w:numFmt w:val="decimal"/>
      <w:pStyle w:val="3"/>
      <w:suff w:val="space"/>
      <w:lvlText w:val="%1.%2.%3."/>
      <w:lvlJc w:val="left"/>
    </w:lvl>
    <w:lvl w:ilvl="3">
      <w:start w:val="1"/>
      <w:numFmt w:val="decimal"/>
      <w:suff w:val="space"/>
      <w:lvlText w:val="%1.%2.%3.%4."/>
      <w:lvlJc w:val="left"/>
    </w:lvl>
    <w:lvl w:ilvl="4">
      <w:start w:val="1"/>
      <w:numFmt w:val="decimal"/>
      <w:suff w:val="space"/>
      <w:lvlText w:val="%1.%2.%3.%4.%5."/>
      <w:lvlJc w:val="left"/>
    </w:lvl>
    <w:lvl w:ilvl="5">
      <w:start w:val="1"/>
      <w:numFmt w:val="decimal"/>
      <w:suff w:val="space"/>
      <w:lvlText w:val="%1.%2.%3.%4.%5.%6."/>
      <w:lvlJc w:val="left"/>
    </w:lvl>
    <w:lvl w:ilvl="6">
      <w:start w:val="1"/>
      <w:numFmt w:val="decimal"/>
      <w:suff w:val="space"/>
      <w:lvlText w:val="%1.%2.%3.%4.%5.%6.%7."/>
      <w:lvlJc w:val="left"/>
    </w:lvl>
    <w:lvl w:ilvl="7">
      <w:start w:val="1"/>
      <w:numFmt w:val="decimal"/>
      <w:suff w:val="nothing"/>
      <w:lvlText w:val=""/>
      <w:lvlJc w:val="left"/>
      <w:rPr>
        <w:rFonts w:ascii="NanumGothic" w:eastAsia="NanumGothic" w:hAnsi="NanumGothic"/>
        <w:color w:val="000000"/>
        <w:sz w:val="20"/>
      </w:rPr>
    </w:lvl>
    <w:lvl w:ilvl="8">
      <w:start w:val="1"/>
      <w:numFmt w:val="decimal"/>
      <w:suff w:val="nothing"/>
      <w:lvlText w:val=""/>
      <w:lvlJc w:val="left"/>
      <w:rPr>
        <w:rFonts w:ascii="NanumGothic" w:eastAsia="NanumGothic" w:hAnsi="NanumGothic"/>
        <w:color w:val="000000"/>
        <w:sz w:val="20"/>
      </w:rPr>
    </w:lvl>
  </w:abstractNum>
  <w:abstractNum w:abstractNumId="6" w15:restartNumberingAfterBreak="0">
    <w:nsid w:val="66522598"/>
    <w:multiLevelType w:val="multilevel"/>
    <w:tmpl w:val="050ACA3A"/>
    <w:lvl w:ilvl="0">
      <w:start w:val="1"/>
      <w:numFmt w:val="decimal"/>
      <w:suff w:val="space"/>
      <w:lvlText w:val="%1."/>
      <w:lvlJc w:val="left"/>
    </w:lvl>
    <w:lvl w:ilvl="1">
      <w:start w:val="1"/>
      <w:numFmt w:val="decimal"/>
      <w:suff w:val="space"/>
      <w:lvlText w:val="%1.%2."/>
      <w:lvlJc w:val="left"/>
    </w:lvl>
    <w:lvl w:ilvl="2">
      <w:start w:val="1"/>
      <w:numFmt w:val="decimal"/>
      <w:suff w:val="space"/>
      <w:lvlText w:val="%1.%2.%3."/>
      <w:lvlJc w:val="left"/>
    </w:lvl>
    <w:lvl w:ilvl="3">
      <w:start w:val="1"/>
      <w:numFmt w:val="decimal"/>
      <w:suff w:val="space"/>
      <w:lvlText w:val="%1.%2.%3.%4."/>
      <w:lvlJc w:val="left"/>
    </w:lvl>
    <w:lvl w:ilvl="4">
      <w:start w:val="1"/>
      <w:numFmt w:val="decimal"/>
      <w:suff w:val="space"/>
      <w:lvlText w:val="%1.%2.%3.%4.%5."/>
      <w:lvlJc w:val="left"/>
    </w:lvl>
    <w:lvl w:ilvl="5">
      <w:start w:val="1"/>
      <w:numFmt w:val="decimal"/>
      <w:pStyle w:val="6"/>
      <w:suff w:val="space"/>
      <w:lvlText w:val="%1.%2.%3.%4.%5.%6."/>
      <w:lvlJc w:val="left"/>
    </w:lvl>
    <w:lvl w:ilvl="6">
      <w:start w:val="1"/>
      <w:numFmt w:val="decimal"/>
      <w:suff w:val="space"/>
      <w:lvlText w:val="%1.%2.%3.%4.%5.%6.%7."/>
      <w:lvlJc w:val="left"/>
    </w:lvl>
    <w:lvl w:ilvl="7">
      <w:start w:val="1"/>
      <w:numFmt w:val="decimal"/>
      <w:suff w:val="nothing"/>
      <w:lvlText w:val=""/>
      <w:lvlJc w:val="left"/>
      <w:rPr>
        <w:rFonts w:ascii="NanumGothic" w:eastAsia="NanumGothic" w:hAnsi="NanumGothic"/>
        <w:color w:val="000000"/>
        <w:sz w:val="20"/>
      </w:rPr>
    </w:lvl>
    <w:lvl w:ilvl="8">
      <w:start w:val="1"/>
      <w:numFmt w:val="decimal"/>
      <w:suff w:val="nothing"/>
      <w:lvlText w:val=""/>
      <w:lvlJc w:val="left"/>
      <w:rPr>
        <w:rFonts w:ascii="NanumGothic" w:eastAsia="NanumGothic" w:hAnsi="NanumGothic"/>
        <w:color w:val="000000"/>
        <w:sz w:val="20"/>
      </w:rPr>
    </w:lvl>
  </w:abstractNum>
  <w:num w:numId="1" w16cid:durableId="2070300354">
    <w:abstractNumId w:val="0"/>
  </w:num>
  <w:num w:numId="2" w16cid:durableId="991789004">
    <w:abstractNumId w:val="2"/>
  </w:num>
  <w:num w:numId="3" w16cid:durableId="323974534">
    <w:abstractNumId w:val="5"/>
  </w:num>
  <w:num w:numId="4" w16cid:durableId="1184706238">
    <w:abstractNumId w:val="1"/>
  </w:num>
  <w:num w:numId="5" w16cid:durableId="857887851">
    <w:abstractNumId w:val="4"/>
  </w:num>
  <w:num w:numId="6" w16cid:durableId="1754551471">
    <w:abstractNumId w:val="6"/>
  </w:num>
  <w:num w:numId="7" w16cid:durableId="19863970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proofState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formatting="0"/>
  <w:defaultTabStop w:val="800"/>
  <w:characterSpacingControl w:val="doNotCompress"/>
  <w:hdrShapeDefaults>
    <o:shapedefaults v:ext="edit" spidmax="2050"/>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1D8"/>
    <w:rsid w:val="002B47A7"/>
    <w:rsid w:val="002D0D39"/>
    <w:rsid w:val="00317877"/>
    <w:rsid w:val="0060319F"/>
    <w:rsid w:val="007D6429"/>
    <w:rsid w:val="007E5C47"/>
    <w:rsid w:val="00C414EF"/>
    <w:rsid w:val="00D60B7B"/>
    <w:rsid w:val="00E92F2E"/>
    <w:rsid w:val="00EC31D8"/>
    <w:rsid w:val="00F00B5D"/>
    <w:rsid w:val="00F826FD"/>
    <w:rsid w:val="00FE4FF5"/>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DE7E9A"/>
  <w15:docId w15:val="{598D78AA-6142-440E-9444-806D3C941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0">
    <w:name w:val="heading 1"/>
    <w:uiPriority w:val="9"/>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outlineLvl w:val="0"/>
    </w:pPr>
    <w:rPr>
      <w:rFonts w:ascii="NanumGothic" w:eastAsia="NanumGothic"/>
      <w:color w:val="000000"/>
      <w:sz w:val="28"/>
    </w:rPr>
  </w:style>
  <w:style w:type="paragraph" w:styleId="20">
    <w:name w:val="heading 2"/>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outlineLvl w:val="1"/>
    </w:pPr>
    <w:rPr>
      <w:rFonts w:ascii="NanumGothic" w:eastAsia="NanumGothic"/>
      <w:color w:val="000000"/>
    </w:rPr>
  </w:style>
  <w:style w:type="paragraph" w:styleId="30">
    <w:name w:val="heading 3"/>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400" w:hanging="400"/>
      <w:jc w:val="both"/>
      <w:textAlignment w:val="baseline"/>
      <w:outlineLvl w:val="2"/>
    </w:pPr>
    <w:rPr>
      <w:rFonts w:ascii="NanumGothic" w:eastAsia="NanumGothic"/>
      <w:color w:val="000000"/>
    </w:rPr>
  </w:style>
  <w:style w:type="paragraph" w:styleId="40">
    <w:name w:val="heading 4"/>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600" w:hanging="400"/>
      <w:jc w:val="both"/>
      <w:textAlignment w:val="baseline"/>
      <w:outlineLvl w:val="3"/>
    </w:pPr>
    <w:rPr>
      <w:rFonts w:ascii="NanumGothic" w:eastAsia="NanumGothic"/>
      <w:b/>
      <w:color w:val="000000"/>
    </w:rPr>
  </w:style>
  <w:style w:type="paragraph" w:styleId="50">
    <w:name w:val="heading 5"/>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800" w:hanging="400"/>
      <w:jc w:val="both"/>
      <w:textAlignment w:val="baseline"/>
      <w:outlineLvl w:val="4"/>
    </w:pPr>
    <w:rPr>
      <w:rFonts w:ascii="NanumGothic" w:eastAsia="NanumGothic"/>
      <w:color w:val="000000"/>
    </w:rPr>
  </w:style>
  <w:style w:type="paragraph" w:styleId="60">
    <w:name w:val="heading 6"/>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000" w:hanging="400"/>
      <w:jc w:val="both"/>
      <w:textAlignment w:val="baseline"/>
      <w:outlineLvl w:val="5"/>
    </w:pPr>
    <w:rPr>
      <w:rFonts w:ascii="NanumGothic" w:eastAsia="NanumGothic"/>
      <w:b/>
      <w:color w:val="000000"/>
    </w:rPr>
  </w:style>
  <w:style w:type="paragraph" w:styleId="70">
    <w:name w:val="heading 7"/>
    <w:uiPriority w:val="10"/>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200" w:hanging="400"/>
      <w:jc w:val="both"/>
      <w:textAlignment w:val="baseline"/>
      <w:outlineLvl w:val="6"/>
    </w:pPr>
    <w:rPr>
      <w:rFonts w:ascii="NanumGothic" w:eastAsia="NanumGothic"/>
      <w:color w:val="000000"/>
    </w:rPr>
  </w:style>
  <w:style w:type="paragraph" w:styleId="8">
    <w:name w:val="heading 8"/>
    <w:uiPriority w:val="11"/>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400" w:hanging="400"/>
      <w:jc w:val="both"/>
      <w:textAlignment w:val="baseline"/>
      <w:outlineLvl w:val="7"/>
    </w:pPr>
    <w:rPr>
      <w:rFonts w:ascii="NanumGothic" w:eastAsia="NanumGothic"/>
      <w:color w:val="000000"/>
    </w:rPr>
  </w:style>
  <w:style w:type="paragraph" w:styleId="9">
    <w:name w:val="heading 9"/>
    <w:uiPriority w:val="12"/>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600" w:hanging="400"/>
      <w:jc w:val="both"/>
      <w:textAlignment w:val="baseline"/>
      <w:outlineLvl w:val="8"/>
    </w:pPr>
    <w:rPr>
      <w:rFonts w:ascii="NanumGothic" w:eastAsia="NanumGothic"/>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바탕" w:eastAsia="바탕"/>
      <w:color w:val="000000"/>
      <w:sz w:val="20"/>
    </w:rPr>
  </w:style>
  <w:style w:type="paragraph" w:styleId="a4">
    <w:name w:val="No Spacing"/>
    <w:uiPriority w:val="2"/>
    <w:pPr>
      <w:widowControl w:val="0"/>
      <w:pBdr>
        <w:top w:val="none" w:sz="2" w:space="0" w:color="FFFFFF"/>
        <w:left w:val="none" w:sz="2" w:space="0" w:color="FFFFFF"/>
        <w:bottom w:val="none" w:sz="2" w:space="0" w:color="FFFFFF"/>
        <w:right w:val="none" w:sz="2" w:space="0" w:color="FFFFFF"/>
      </w:pBdr>
      <w:wordWrap w:val="0"/>
      <w:autoSpaceDE w:val="0"/>
      <w:autoSpaceDN w:val="0"/>
      <w:spacing w:after="0"/>
      <w:jc w:val="both"/>
      <w:textAlignment w:val="baseline"/>
    </w:pPr>
    <w:rPr>
      <w:rFonts w:ascii="NanumGothic" w:eastAsia="NanumGothic"/>
      <w:color w:val="000000"/>
    </w:rPr>
  </w:style>
  <w:style w:type="paragraph" w:styleId="a5">
    <w:name w:val="Title"/>
    <w:uiPriority w:val="10"/>
    <w:qFormat/>
    <w:pPr>
      <w:widowControl w:val="0"/>
      <w:pBdr>
        <w:top w:val="none" w:sz="2" w:space="0" w:color="FFFFFF"/>
        <w:left w:val="none" w:sz="2" w:space="0" w:color="FFFFFF"/>
        <w:bottom w:val="none" w:sz="2" w:space="0" w:color="FFFFFF"/>
        <w:right w:val="none" w:sz="2" w:space="0" w:color="FFFFFF"/>
      </w:pBdr>
      <w:wordWrap w:val="0"/>
      <w:autoSpaceDE w:val="0"/>
      <w:autoSpaceDN w:val="0"/>
      <w:spacing w:before="240" w:after="120" w:line="384" w:lineRule="auto"/>
      <w:jc w:val="center"/>
      <w:textAlignment w:val="baseline"/>
    </w:pPr>
    <w:rPr>
      <w:rFonts w:ascii="NanumGothic" w:eastAsia="NanumGothic"/>
      <w:b/>
      <w:color w:val="000000"/>
      <w:sz w:val="32"/>
    </w:rPr>
  </w:style>
  <w:style w:type="paragraph" w:styleId="a6">
    <w:name w:val="Subtitle"/>
    <w:uiPriority w:val="11"/>
    <w:qFormat/>
    <w:pPr>
      <w:widowControl w:val="0"/>
      <w:pBdr>
        <w:top w:val="none" w:sz="2" w:space="0" w:color="FFFFFF"/>
        <w:left w:val="none" w:sz="2" w:space="0" w:color="FFFFFF"/>
        <w:bottom w:val="none" w:sz="2" w:space="0" w:color="FFFFFF"/>
        <w:right w:val="none" w:sz="2" w:space="0" w:color="FFFFFF"/>
      </w:pBdr>
      <w:wordWrap w:val="0"/>
      <w:autoSpaceDE w:val="0"/>
      <w:autoSpaceDN w:val="0"/>
      <w:spacing w:after="60" w:line="384" w:lineRule="auto"/>
      <w:jc w:val="center"/>
      <w:textAlignment w:val="baseline"/>
    </w:pPr>
    <w:rPr>
      <w:rFonts w:ascii="NanumGothic" w:eastAsia="NanumGothic"/>
      <w:color w:val="000000"/>
      <w:sz w:val="24"/>
    </w:rPr>
  </w:style>
  <w:style w:type="character" w:styleId="a7">
    <w:name w:val="Subtle Emphasis"/>
    <w:uiPriority w:val="14"/>
    <w:rPr>
      <w:rFonts w:ascii="NanumGothic" w:eastAsia="NanumGothic"/>
      <w:i/>
      <w:color w:val="404040"/>
      <w:sz w:val="22"/>
    </w:rPr>
  </w:style>
  <w:style w:type="character" w:styleId="a8">
    <w:name w:val="Emphasis"/>
    <w:uiPriority w:val="15"/>
    <w:rPr>
      <w:rFonts w:ascii="NanumGothic" w:eastAsia="NanumGothic"/>
      <w:i/>
      <w:color w:val="000000"/>
      <w:sz w:val="22"/>
    </w:rPr>
  </w:style>
  <w:style w:type="character" w:styleId="a9">
    <w:name w:val="Intense Emphasis"/>
    <w:uiPriority w:val="16"/>
    <w:rPr>
      <w:rFonts w:ascii="NanumGothic" w:eastAsia="NanumGothic"/>
      <w:i/>
      <w:color w:val="5B9BD5"/>
      <w:sz w:val="22"/>
    </w:rPr>
  </w:style>
  <w:style w:type="character" w:styleId="aa">
    <w:name w:val="Strong"/>
    <w:uiPriority w:val="17"/>
    <w:rPr>
      <w:rFonts w:ascii="NanumGothic" w:eastAsia="NanumGothic"/>
      <w:b/>
      <w:color w:val="000000"/>
      <w:sz w:val="22"/>
    </w:rPr>
  </w:style>
  <w:style w:type="paragraph" w:styleId="ab">
    <w:name w:val="Quote"/>
    <w:uiPriority w:val="18"/>
    <w:pPr>
      <w:widowControl w:val="0"/>
      <w:pBdr>
        <w:top w:val="none" w:sz="2" w:space="0" w:color="FFFFFF"/>
        <w:left w:val="none" w:sz="2" w:space="0" w:color="FFFFFF"/>
        <w:bottom w:val="none" w:sz="2" w:space="0" w:color="FFFFFF"/>
        <w:right w:val="none" w:sz="2" w:space="0" w:color="FFFFFF"/>
      </w:pBdr>
      <w:wordWrap w:val="0"/>
      <w:autoSpaceDE w:val="0"/>
      <w:autoSpaceDN w:val="0"/>
      <w:spacing w:before="200" w:after="0" w:line="384" w:lineRule="auto"/>
      <w:ind w:left="864" w:right="864"/>
      <w:jc w:val="center"/>
      <w:textAlignment w:val="baseline"/>
    </w:pPr>
    <w:rPr>
      <w:rFonts w:ascii="NanumGothic" w:eastAsia="NanumGothic"/>
      <w:i/>
      <w:color w:val="404040"/>
    </w:rPr>
  </w:style>
  <w:style w:type="paragraph" w:styleId="ac">
    <w:name w:val="Intense Quote"/>
    <w:uiPriority w:val="19"/>
    <w:pPr>
      <w:widowControl w:val="0"/>
      <w:pBdr>
        <w:top w:val="single" w:sz="2" w:space="10" w:color="5B9BD5"/>
        <w:left w:val="none" w:sz="2" w:space="0" w:color="FFFFFF"/>
        <w:bottom w:val="single" w:sz="2" w:space="10" w:color="5B9BD5"/>
        <w:right w:val="none" w:sz="2" w:space="0" w:color="FFFFFF"/>
      </w:pBdr>
      <w:wordWrap w:val="0"/>
      <w:autoSpaceDE w:val="0"/>
      <w:autoSpaceDN w:val="0"/>
      <w:spacing w:before="360" w:after="360" w:line="384" w:lineRule="auto"/>
      <w:ind w:left="864" w:right="864"/>
      <w:jc w:val="center"/>
      <w:textAlignment w:val="baseline"/>
    </w:pPr>
    <w:rPr>
      <w:rFonts w:ascii="NanumGothic" w:eastAsia="NanumGothic"/>
      <w:i/>
      <w:color w:val="5B9BD5"/>
    </w:rPr>
  </w:style>
  <w:style w:type="character" w:styleId="ad">
    <w:name w:val="Subtle Reference"/>
    <w:uiPriority w:val="20"/>
    <w:rPr>
      <w:rFonts w:ascii="NanumGothic" w:eastAsia="NanumGothic"/>
      <w:color w:val="5A5A5A"/>
      <w:sz w:val="22"/>
    </w:rPr>
  </w:style>
  <w:style w:type="character" w:styleId="ae">
    <w:name w:val="Intense Reference"/>
    <w:uiPriority w:val="21"/>
    <w:rPr>
      <w:rFonts w:ascii="NanumGothic" w:eastAsia="NanumGothic"/>
      <w:b/>
      <w:color w:val="5B9BD5"/>
      <w:sz w:val="22"/>
    </w:rPr>
  </w:style>
  <w:style w:type="character" w:styleId="af">
    <w:name w:val="Book Title"/>
    <w:uiPriority w:val="22"/>
    <w:rPr>
      <w:rFonts w:ascii="NanumGothic" w:eastAsia="NanumGothic"/>
      <w:b/>
      <w:i/>
      <w:color w:val="000000"/>
      <w:sz w:val="22"/>
    </w:rPr>
  </w:style>
  <w:style w:type="paragraph" w:styleId="af0">
    <w:name w:val="List Paragraph"/>
    <w:uiPriority w:val="23"/>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850"/>
      <w:jc w:val="both"/>
      <w:textAlignment w:val="baseline"/>
    </w:pPr>
    <w:rPr>
      <w:rFonts w:ascii="NanumGothic" w:eastAsia="NanumGothic"/>
      <w:color w:val="000000"/>
    </w:rPr>
  </w:style>
  <w:style w:type="paragraph" w:styleId="TOC">
    <w:name w:val="TOC Heading"/>
    <w:uiPriority w:val="24"/>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NanumGothic" w:eastAsia="NanumGothic"/>
      <w:color w:val="000000"/>
      <w:sz w:val="28"/>
    </w:rPr>
  </w:style>
  <w:style w:type="paragraph" w:styleId="11">
    <w:name w:val="toc 1"/>
    <w:uiPriority w:val="25"/>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NanumGothic" w:eastAsia="NanumGothic"/>
      <w:color w:val="000000"/>
    </w:rPr>
  </w:style>
  <w:style w:type="paragraph" w:styleId="21">
    <w:name w:val="toc 2"/>
    <w:uiPriority w:val="26"/>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425"/>
      <w:jc w:val="both"/>
      <w:textAlignment w:val="baseline"/>
    </w:pPr>
    <w:rPr>
      <w:rFonts w:ascii="NanumGothic" w:eastAsia="NanumGothic"/>
      <w:color w:val="000000"/>
    </w:rPr>
  </w:style>
  <w:style w:type="paragraph" w:styleId="31">
    <w:name w:val="toc 3"/>
    <w:uiPriority w:val="27"/>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850"/>
      <w:jc w:val="both"/>
      <w:textAlignment w:val="baseline"/>
    </w:pPr>
    <w:rPr>
      <w:rFonts w:ascii="NanumGothic" w:eastAsia="NanumGothic"/>
      <w:color w:val="000000"/>
    </w:rPr>
  </w:style>
  <w:style w:type="paragraph" w:styleId="41">
    <w:name w:val="toc 4"/>
    <w:uiPriority w:val="28"/>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275"/>
      <w:jc w:val="both"/>
      <w:textAlignment w:val="baseline"/>
    </w:pPr>
    <w:rPr>
      <w:rFonts w:ascii="NanumGothic" w:eastAsia="NanumGothic"/>
      <w:color w:val="000000"/>
    </w:rPr>
  </w:style>
  <w:style w:type="paragraph" w:styleId="51">
    <w:name w:val="toc 5"/>
    <w:uiPriority w:val="29"/>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700"/>
      <w:jc w:val="both"/>
      <w:textAlignment w:val="baseline"/>
    </w:pPr>
    <w:rPr>
      <w:rFonts w:ascii="NanumGothic" w:eastAsia="NanumGothic"/>
      <w:color w:val="000000"/>
    </w:rPr>
  </w:style>
  <w:style w:type="paragraph" w:styleId="61">
    <w:name w:val="toc 6"/>
    <w:uiPriority w:val="30"/>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125"/>
      <w:jc w:val="both"/>
      <w:textAlignment w:val="baseline"/>
    </w:pPr>
    <w:rPr>
      <w:rFonts w:ascii="NanumGothic" w:eastAsia="NanumGothic"/>
      <w:color w:val="000000"/>
    </w:rPr>
  </w:style>
  <w:style w:type="paragraph" w:styleId="71">
    <w:name w:val="toc 7"/>
    <w:uiPriority w:val="31"/>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550"/>
      <w:jc w:val="both"/>
      <w:textAlignment w:val="baseline"/>
    </w:pPr>
    <w:rPr>
      <w:rFonts w:ascii="NanumGothic" w:eastAsia="NanumGothic"/>
      <w:color w:val="000000"/>
    </w:rPr>
  </w:style>
  <w:style w:type="paragraph" w:styleId="80">
    <w:name w:val="toc 8"/>
    <w:uiPriority w:val="32"/>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975"/>
      <w:jc w:val="both"/>
      <w:textAlignment w:val="baseline"/>
    </w:pPr>
    <w:rPr>
      <w:rFonts w:ascii="NanumGothic" w:eastAsia="NanumGothic"/>
      <w:color w:val="000000"/>
    </w:rPr>
  </w:style>
  <w:style w:type="paragraph" w:styleId="90">
    <w:name w:val="toc 9"/>
    <w:uiPriority w:val="33"/>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3400"/>
      <w:jc w:val="both"/>
      <w:textAlignment w:val="baseline"/>
    </w:pPr>
    <w:rPr>
      <w:rFonts w:ascii="NanumGothic" w:eastAsia="NanumGothic"/>
      <w:color w:val="000000"/>
    </w:rPr>
  </w:style>
  <w:style w:type="paragraph" w:styleId="af1">
    <w:name w:val="Body Text"/>
    <w:uiPriority w:val="34"/>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300"/>
      <w:jc w:val="both"/>
      <w:textAlignment w:val="baseline"/>
    </w:pPr>
    <w:rPr>
      <w:rFonts w:ascii="바탕" w:eastAsia="바탕"/>
      <w:color w:val="000000"/>
      <w:sz w:val="20"/>
    </w:rPr>
  </w:style>
  <w:style w:type="paragraph" w:customStyle="1" w:styleId="1">
    <w:name w:val="개요 1"/>
    <w:uiPriority w:val="35"/>
    <w:pPr>
      <w:widowControl w:val="0"/>
      <w:numPr>
        <w:numId w:val="1"/>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바탕" w:eastAsia="바탕"/>
      <w:color w:val="000000"/>
      <w:sz w:val="20"/>
    </w:rPr>
  </w:style>
  <w:style w:type="paragraph" w:customStyle="1" w:styleId="2">
    <w:name w:val="개요 2"/>
    <w:uiPriority w:val="36"/>
    <w:pPr>
      <w:widowControl w:val="0"/>
      <w:numPr>
        <w:ilvl w:val="1"/>
        <w:numId w:val="2"/>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바탕" w:eastAsia="바탕"/>
      <w:color w:val="000000"/>
      <w:sz w:val="20"/>
    </w:rPr>
  </w:style>
  <w:style w:type="paragraph" w:customStyle="1" w:styleId="3">
    <w:name w:val="개요 3"/>
    <w:uiPriority w:val="37"/>
    <w:pPr>
      <w:widowControl w:val="0"/>
      <w:numPr>
        <w:ilvl w:val="2"/>
        <w:numId w:val="3"/>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바탕" w:eastAsia="바탕"/>
      <w:color w:val="000000"/>
      <w:sz w:val="20"/>
    </w:rPr>
  </w:style>
  <w:style w:type="paragraph" w:customStyle="1" w:styleId="4">
    <w:name w:val="개요 4"/>
    <w:uiPriority w:val="38"/>
    <w:pPr>
      <w:widowControl w:val="0"/>
      <w:numPr>
        <w:ilvl w:val="3"/>
        <w:numId w:val="4"/>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바탕" w:eastAsia="바탕"/>
      <w:color w:val="000000"/>
      <w:sz w:val="20"/>
    </w:rPr>
  </w:style>
  <w:style w:type="paragraph" w:customStyle="1" w:styleId="5">
    <w:name w:val="개요 5"/>
    <w:uiPriority w:val="39"/>
    <w:pPr>
      <w:widowControl w:val="0"/>
      <w:numPr>
        <w:ilvl w:val="4"/>
        <w:numId w:val="5"/>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바탕" w:eastAsia="바탕"/>
      <w:color w:val="000000"/>
      <w:sz w:val="20"/>
    </w:rPr>
  </w:style>
  <w:style w:type="paragraph" w:customStyle="1" w:styleId="6">
    <w:name w:val="개요 6"/>
    <w:uiPriority w:val="40"/>
    <w:pPr>
      <w:widowControl w:val="0"/>
      <w:numPr>
        <w:ilvl w:val="5"/>
        <w:numId w:val="6"/>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바탕" w:eastAsia="바탕"/>
      <w:color w:val="000000"/>
      <w:sz w:val="20"/>
    </w:rPr>
  </w:style>
  <w:style w:type="paragraph" w:customStyle="1" w:styleId="7">
    <w:name w:val="개요 7"/>
    <w:uiPriority w:val="41"/>
    <w:pPr>
      <w:widowControl w:val="0"/>
      <w:numPr>
        <w:ilvl w:val="6"/>
        <w:numId w:val="7"/>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바탕" w:eastAsia="바탕"/>
      <w:color w:val="000000"/>
      <w:sz w:val="20"/>
    </w:rPr>
  </w:style>
  <w:style w:type="paragraph" w:customStyle="1" w:styleId="af2">
    <w:name w:val="쪽 번호"/>
    <w:uiPriority w:val="42"/>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굴림" w:eastAsia="굴림"/>
      <w:color w:val="000000"/>
      <w:sz w:val="20"/>
    </w:rPr>
  </w:style>
  <w:style w:type="paragraph" w:customStyle="1" w:styleId="af3">
    <w:name w:val="머리말"/>
    <w:uiPriority w:val="43"/>
    <w:pPr>
      <w:widowControl w:val="0"/>
      <w:pBdr>
        <w:top w:val="none" w:sz="2" w:space="0" w:color="FFFFFF"/>
        <w:left w:val="none" w:sz="2" w:space="0" w:color="FFFFFF"/>
        <w:bottom w:val="none" w:sz="2" w:space="0" w:color="FFFFFF"/>
        <w:right w:val="none" w:sz="2" w:space="0" w:color="FFFFFF"/>
      </w:pBdr>
      <w:tabs>
        <w:tab w:val="left" w:pos="0"/>
      </w:tabs>
      <w:autoSpaceDE w:val="0"/>
      <w:autoSpaceDN w:val="0"/>
      <w:spacing w:after="0" w:line="360" w:lineRule="auto"/>
      <w:jc w:val="both"/>
      <w:textAlignment w:val="baseline"/>
    </w:pPr>
    <w:rPr>
      <w:rFonts w:ascii="굴림" w:eastAsia="굴림"/>
      <w:color w:val="000000"/>
      <w:spacing w:val="-2"/>
      <w:w w:val="98"/>
      <w:sz w:val="18"/>
    </w:rPr>
  </w:style>
  <w:style w:type="paragraph" w:customStyle="1" w:styleId="af4">
    <w:name w:val="각주"/>
    <w:uiPriority w:val="44"/>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12" w:lineRule="auto"/>
      <w:ind w:left="262" w:hanging="262"/>
      <w:jc w:val="both"/>
      <w:textAlignment w:val="baseline"/>
    </w:pPr>
    <w:rPr>
      <w:rFonts w:ascii="바탕" w:eastAsia="바탕"/>
      <w:color w:val="000000"/>
      <w:spacing w:val="-4"/>
      <w:w w:val="95"/>
      <w:sz w:val="18"/>
    </w:rPr>
  </w:style>
  <w:style w:type="paragraph" w:customStyle="1" w:styleId="af5">
    <w:name w:val="동그라미"/>
    <w:uiPriority w:val="45"/>
    <w:pPr>
      <w:widowControl w:val="0"/>
      <w:pBdr>
        <w:top w:val="none" w:sz="2" w:space="0" w:color="FFFFFF"/>
        <w:left w:val="none" w:sz="2" w:space="0" w:color="FFFFFF"/>
        <w:bottom w:val="none" w:sz="2" w:space="0" w:color="FFFFFF"/>
        <w:right w:val="none" w:sz="2" w:space="0" w:color="FFFFFF"/>
      </w:pBdr>
      <w:wordWrap w:val="0"/>
      <w:autoSpaceDE w:val="0"/>
      <w:autoSpaceDN w:val="0"/>
      <w:spacing w:before="200" w:after="20" w:line="384" w:lineRule="auto"/>
      <w:ind w:left="622" w:hanging="622"/>
      <w:jc w:val="both"/>
      <w:textAlignment w:val="baseline"/>
    </w:pPr>
    <w:rPr>
      <w:rFonts w:ascii="휴먼명조" w:eastAsia="휴먼명조"/>
      <w:color w:val="000000"/>
      <w:sz w:val="32"/>
    </w:rPr>
  </w:style>
  <w:style w:type="paragraph" w:customStyle="1" w:styleId="0005">
    <w:name w:val="000:5"/>
    <w:uiPriority w:val="46"/>
    <w:pPr>
      <w:widowControl w:val="0"/>
      <w:pBdr>
        <w:top w:val="none" w:sz="2" w:space="0" w:color="FFFFFF"/>
        <w:left w:val="none" w:sz="2" w:space="0" w:color="FFFFFF"/>
        <w:bottom w:val="none" w:sz="2" w:space="0" w:color="FFFFFF"/>
        <w:right w:val="none" w:sz="2" w:space="0" w:color="FFFFFF"/>
      </w:pBdr>
      <w:wordWrap w:val="0"/>
      <w:autoSpaceDE w:val="0"/>
      <w:autoSpaceDN w:val="0"/>
      <w:spacing w:after="100" w:line="408" w:lineRule="auto"/>
      <w:ind w:left="400"/>
      <w:jc w:val="both"/>
      <w:textAlignment w:val="baseline"/>
    </w:pPr>
    <w:rPr>
      <w:rFonts w:ascii="한양신명조" w:eastAsia="한양신명조"/>
      <w:color w:val="000000"/>
      <w:w w:val="95"/>
      <w:sz w:val="26"/>
    </w:rPr>
  </w:style>
  <w:style w:type="paragraph" w:customStyle="1" w:styleId="172">
    <w:name w:val="17 위 2"/>
    <w:uiPriority w:val="47"/>
    <w:pPr>
      <w:widowControl w:val="0"/>
      <w:pBdr>
        <w:top w:val="none" w:sz="2" w:space="0" w:color="FFFFFF"/>
        <w:left w:val="none" w:sz="2" w:space="0" w:color="FFFFFF"/>
        <w:bottom w:val="none" w:sz="2" w:space="0" w:color="FFFFFF"/>
        <w:right w:val="none" w:sz="2" w:space="0" w:color="FFFFFF"/>
      </w:pBdr>
      <w:tabs>
        <w:tab w:val="left" w:pos="400"/>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s>
      <w:wordWrap w:val="0"/>
      <w:autoSpaceDE w:val="0"/>
      <w:autoSpaceDN w:val="0"/>
      <w:spacing w:before="113" w:after="0" w:line="384" w:lineRule="auto"/>
      <w:jc w:val="both"/>
      <w:textAlignment w:val="baseline"/>
    </w:pPr>
    <w:rPr>
      <w:rFonts w:ascii="한양신명조" w:eastAsia="한양신명조"/>
      <w:color w:val="000000"/>
      <w:w w:val="95"/>
      <w:sz w:val="34"/>
    </w:rPr>
  </w:style>
  <w:style w:type="paragraph" w:customStyle="1" w:styleId="af6">
    <w:name w:val="선그리기"/>
    <w:uiPriority w:val="48"/>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산세리프" w:eastAsia="한양신명조"/>
      <w:color w:val="000000"/>
      <w:sz w:val="20"/>
    </w:rPr>
  </w:style>
  <w:style w:type="paragraph" w:customStyle="1" w:styleId="af7">
    <w:name w:val="표내용"/>
    <w:uiPriority w:val="49"/>
    <w:pPr>
      <w:widowControl w:val="0"/>
      <w:pBdr>
        <w:top w:val="none" w:sz="2" w:space="0" w:color="FFFFFF"/>
        <w:left w:val="none" w:sz="2" w:space="0" w:color="FFFFFF"/>
        <w:bottom w:val="none" w:sz="2" w:space="0" w:color="FFFFFF"/>
        <w:right w:val="none" w:sz="2" w:space="0" w:color="FFFFFF"/>
      </w:pBdr>
      <w:autoSpaceDE w:val="0"/>
      <w:autoSpaceDN w:val="0"/>
      <w:spacing w:after="0" w:line="312" w:lineRule="auto"/>
      <w:jc w:val="center"/>
      <w:textAlignment w:val="baseline"/>
    </w:pPr>
    <w:rPr>
      <w:rFonts w:ascii="HY중고딕" w:eastAsia="HY중고딕"/>
      <w:color w:val="000000"/>
      <w:w w:val="95"/>
      <w:sz w:val="20"/>
    </w:rPr>
  </w:style>
  <w:style w:type="paragraph" w:customStyle="1" w:styleId="td">
    <w:name w:val="td"/>
    <w:uiPriority w:val="50"/>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돋움" w:eastAsia="돋움"/>
      <w:color w:val="000000"/>
    </w:rPr>
  </w:style>
  <w:style w:type="paragraph" w:customStyle="1" w:styleId="xl65">
    <w:name w:val="xl65"/>
    <w:uiPriority w:val="51"/>
    <w:pPr>
      <w:widowControl w:val="0"/>
      <w:pBdr>
        <w:top w:val="none" w:sz="2" w:space="0" w:color="FFFFFF"/>
        <w:left w:val="none" w:sz="2" w:space="0" w:color="FFFFFF"/>
        <w:bottom w:val="none" w:sz="2" w:space="0" w:color="FFFFFF"/>
        <w:right w:val="none" w:sz="2" w:space="0" w:color="FFFFFF"/>
      </w:pBdr>
      <w:autoSpaceDE w:val="0"/>
      <w:autoSpaceDN w:val="0"/>
      <w:spacing w:after="0"/>
      <w:textAlignment w:val="center"/>
    </w:pPr>
    <w:rPr>
      <w:rFonts w:ascii="굴림" w:eastAsia="굴림"/>
      <w:color w:val="000000"/>
      <w:sz w:val="20"/>
    </w:rPr>
  </w:style>
  <w:style w:type="paragraph" w:customStyle="1" w:styleId="xl66">
    <w:name w:val="xl66"/>
    <w:uiPriority w:val="52"/>
    <w:pPr>
      <w:widowControl w:val="0"/>
      <w:pBdr>
        <w:top w:val="none" w:sz="2" w:space="0" w:color="FFFFFF"/>
        <w:left w:val="none" w:sz="2" w:space="0" w:color="FFFFFF"/>
        <w:bottom w:val="none" w:sz="2" w:space="0" w:color="FFFFFF"/>
        <w:right w:val="none" w:sz="2" w:space="0" w:color="FFFFFF"/>
      </w:pBdr>
      <w:autoSpaceDE w:val="0"/>
      <w:autoSpaceDN w:val="0"/>
      <w:spacing w:after="0"/>
      <w:jc w:val="center"/>
      <w:textAlignment w:val="center"/>
    </w:pPr>
    <w:rPr>
      <w:rFonts w:ascii="맑은 고딕" w:eastAsia="맑은 고딕"/>
      <w:b/>
      <w:color w:val="000000"/>
      <w:sz w:val="20"/>
    </w:rPr>
  </w:style>
  <w:style w:type="paragraph" w:customStyle="1" w:styleId="xl67">
    <w:name w:val="xl67"/>
    <w:uiPriority w:val="53"/>
    <w:pPr>
      <w:widowControl w:val="0"/>
      <w:pBdr>
        <w:top w:val="none" w:sz="2" w:space="0" w:color="FFFFFF"/>
        <w:left w:val="none" w:sz="2" w:space="0" w:color="FFFFFF"/>
        <w:bottom w:val="none" w:sz="2" w:space="0" w:color="FFFFFF"/>
        <w:right w:val="none" w:sz="2" w:space="0" w:color="FFFFFF"/>
      </w:pBdr>
      <w:autoSpaceDE w:val="0"/>
      <w:autoSpaceDN w:val="0"/>
      <w:spacing w:after="0"/>
      <w:textAlignment w:val="center"/>
    </w:pPr>
    <w:rPr>
      <w:rFonts w:ascii="맑은 고딕" w:eastAsia="맑은 고딕"/>
      <w:color w:val="000000"/>
      <w:sz w:val="20"/>
    </w:rPr>
  </w:style>
  <w:style w:type="paragraph" w:customStyle="1" w:styleId="xl68">
    <w:name w:val="xl68"/>
    <w:uiPriority w:val="54"/>
    <w:pPr>
      <w:widowControl w:val="0"/>
      <w:pBdr>
        <w:top w:val="none" w:sz="2" w:space="0" w:color="FFFFFF"/>
        <w:left w:val="none" w:sz="2" w:space="0" w:color="FFFFFF"/>
        <w:bottom w:val="none" w:sz="2" w:space="0" w:color="FFFFFF"/>
        <w:right w:val="none" w:sz="2" w:space="0" w:color="FFFFFF"/>
      </w:pBdr>
      <w:autoSpaceDE w:val="0"/>
      <w:autoSpaceDN w:val="0"/>
      <w:spacing w:after="0"/>
      <w:jc w:val="center"/>
      <w:textAlignment w:val="center"/>
    </w:pPr>
    <w:rPr>
      <w:rFonts w:ascii="맑은 고딕" w:eastAsia="맑은 고딕"/>
      <w:color w:val="000000"/>
      <w:sz w:val="20"/>
    </w:rPr>
  </w:style>
  <w:style w:type="paragraph" w:customStyle="1" w:styleId="xl69">
    <w:name w:val="xl69"/>
    <w:uiPriority w:val="55"/>
    <w:pPr>
      <w:widowControl w:val="0"/>
      <w:pBdr>
        <w:top w:val="none" w:sz="2" w:space="0" w:color="FFFFFF"/>
        <w:left w:val="none" w:sz="2" w:space="0" w:color="FFFFFF"/>
        <w:bottom w:val="none" w:sz="2" w:space="0" w:color="FFFFFF"/>
        <w:right w:val="none" w:sz="2" w:space="0" w:color="FFFFFF"/>
      </w:pBdr>
      <w:autoSpaceDE w:val="0"/>
      <w:autoSpaceDN w:val="0"/>
      <w:spacing w:after="0"/>
      <w:jc w:val="center"/>
      <w:textAlignment w:val="center"/>
    </w:pPr>
    <w:rPr>
      <w:rFonts w:ascii="맑은 고딕" w:eastAsia="맑은 고딕"/>
      <w:color w:val="000000"/>
      <w:sz w:val="20"/>
    </w:rPr>
  </w:style>
  <w:style w:type="paragraph" w:customStyle="1" w:styleId="xl71">
    <w:name w:val="xl71"/>
    <w:uiPriority w:val="56"/>
    <w:pPr>
      <w:widowControl w:val="0"/>
      <w:pBdr>
        <w:top w:val="none" w:sz="2" w:space="0" w:color="FFFFFF"/>
        <w:left w:val="none" w:sz="2" w:space="0" w:color="FFFFFF"/>
        <w:bottom w:val="none" w:sz="2" w:space="0" w:color="FFFFFF"/>
        <w:right w:val="none" w:sz="2" w:space="0" w:color="FFFFFF"/>
      </w:pBdr>
      <w:autoSpaceDE w:val="0"/>
      <w:autoSpaceDN w:val="0"/>
      <w:spacing w:after="0"/>
      <w:jc w:val="center"/>
      <w:textAlignment w:val="center"/>
    </w:pPr>
    <w:rPr>
      <w:rFonts w:ascii="Arial" w:eastAsia="Arial-BoldMT"/>
      <w:color w:val="000000"/>
      <w:sz w:val="20"/>
    </w:rPr>
  </w:style>
  <w:style w:type="paragraph" w:customStyle="1" w:styleId="xl74">
    <w:name w:val="xl74"/>
    <w:uiPriority w:val="57"/>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textAlignment w:val="baseline"/>
    </w:pPr>
    <w:rPr>
      <w:rFonts w:ascii="굴림체" w:eastAsia="굴림체"/>
      <w:color w:val="000000"/>
      <w:sz w:val="28"/>
    </w:rPr>
  </w:style>
  <w:style w:type="paragraph" w:customStyle="1" w:styleId="xl75">
    <w:name w:val="xl75"/>
    <w:uiPriority w:val="58"/>
    <w:pPr>
      <w:widowControl w:val="0"/>
      <w:pBdr>
        <w:top w:val="none" w:sz="2" w:space="0" w:color="FFFFFF"/>
        <w:left w:val="none" w:sz="2" w:space="0" w:color="FFFFFF"/>
        <w:bottom w:val="none" w:sz="2" w:space="0" w:color="FFFFFF"/>
        <w:right w:val="none" w:sz="2" w:space="0" w:color="FFFFFF"/>
      </w:pBdr>
      <w:autoSpaceDE w:val="0"/>
      <w:autoSpaceDN w:val="0"/>
      <w:spacing w:after="0"/>
      <w:jc w:val="center"/>
      <w:textAlignment w:val="center"/>
    </w:pPr>
    <w:rPr>
      <w:rFonts w:ascii="Arial" w:eastAsia="Arial-BoldMT"/>
      <w:color w:val="000000"/>
      <w:sz w:val="20"/>
    </w:rPr>
  </w:style>
  <w:style w:type="paragraph" w:customStyle="1" w:styleId="xl76">
    <w:name w:val="xl76"/>
    <w:uiPriority w:val="59"/>
    <w:pPr>
      <w:widowControl w:val="0"/>
      <w:pBdr>
        <w:top w:val="none" w:sz="2" w:space="0" w:color="FFFFFF"/>
        <w:left w:val="none" w:sz="2" w:space="0" w:color="FFFFFF"/>
        <w:bottom w:val="none" w:sz="2" w:space="0" w:color="FFFFFF"/>
        <w:right w:val="none" w:sz="2" w:space="0" w:color="FFFFFF"/>
      </w:pBdr>
      <w:autoSpaceDE w:val="0"/>
      <w:autoSpaceDN w:val="0"/>
      <w:spacing w:after="0"/>
      <w:jc w:val="center"/>
      <w:textAlignment w:val="center"/>
    </w:pPr>
    <w:rPr>
      <w:rFonts w:ascii="맑은 고딕" w:eastAsia="맑은 고딕"/>
      <w:color w:val="000000"/>
      <w:sz w:val="20"/>
    </w:rPr>
  </w:style>
  <w:style w:type="paragraph" w:customStyle="1" w:styleId="xl77">
    <w:name w:val="xl77"/>
    <w:uiPriority w:val="60"/>
    <w:pPr>
      <w:widowControl w:val="0"/>
      <w:pBdr>
        <w:top w:val="none" w:sz="2" w:space="0" w:color="FFFFFF"/>
        <w:left w:val="none" w:sz="2" w:space="0" w:color="FFFFFF"/>
        <w:bottom w:val="none" w:sz="2" w:space="0" w:color="FFFFFF"/>
        <w:right w:val="none" w:sz="2" w:space="0" w:color="FFFFFF"/>
      </w:pBdr>
      <w:autoSpaceDE w:val="0"/>
      <w:autoSpaceDN w:val="0"/>
      <w:spacing w:after="0"/>
      <w:jc w:val="center"/>
      <w:textAlignment w:val="center"/>
    </w:pPr>
    <w:rPr>
      <w:rFonts w:ascii="맑은 고딕" w:eastAsia="맑은 고딕"/>
      <w:color w:val="000000"/>
      <w:sz w:val="20"/>
    </w:rPr>
  </w:style>
  <w:style w:type="paragraph" w:customStyle="1" w:styleId="xl78">
    <w:name w:val="xl78"/>
    <w:uiPriority w:val="61"/>
    <w:pPr>
      <w:widowControl w:val="0"/>
      <w:pBdr>
        <w:top w:val="none" w:sz="2" w:space="0" w:color="FFFFFF"/>
        <w:left w:val="none" w:sz="2" w:space="0" w:color="FFFFFF"/>
        <w:bottom w:val="none" w:sz="2" w:space="0" w:color="FFFFFF"/>
        <w:right w:val="none" w:sz="2" w:space="0" w:color="FFFFFF"/>
      </w:pBdr>
      <w:autoSpaceDE w:val="0"/>
      <w:autoSpaceDN w:val="0"/>
      <w:spacing w:after="0"/>
      <w:jc w:val="center"/>
      <w:textAlignment w:val="center"/>
    </w:pPr>
    <w:rPr>
      <w:rFonts w:ascii="맑은 고딕" w:eastAsia="맑은 고딕"/>
      <w:b/>
      <w:color w:val="FF0000"/>
      <w:sz w:val="18"/>
    </w:rPr>
  </w:style>
  <w:style w:type="paragraph" w:customStyle="1" w:styleId="xl79">
    <w:name w:val="xl79"/>
    <w:uiPriority w:val="62"/>
    <w:pPr>
      <w:widowControl w:val="0"/>
      <w:pBdr>
        <w:top w:val="none" w:sz="2" w:space="0" w:color="FFFFFF"/>
        <w:left w:val="none" w:sz="2" w:space="0" w:color="FFFFFF"/>
        <w:bottom w:val="none" w:sz="2" w:space="0" w:color="FFFFFF"/>
        <w:right w:val="none" w:sz="2" w:space="0" w:color="FFFFFF"/>
      </w:pBdr>
      <w:autoSpaceDE w:val="0"/>
      <w:autoSpaceDN w:val="0"/>
      <w:spacing w:after="0"/>
      <w:jc w:val="center"/>
      <w:textAlignment w:val="center"/>
    </w:pPr>
    <w:rPr>
      <w:rFonts w:ascii="맑은 고딕" w:eastAsia="맑은 고딕"/>
      <w:color w:val="000000"/>
      <w:sz w:val="20"/>
    </w:rPr>
  </w:style>
  <w:style w:type="paragraph" w:customStyle="1" w:styleId="xl80">
    <w:name w:val="xl80"/>
    <w:uiPriority w:val="63"/>
    <w:pPr>
      <w:widowControl w:val="0"/>
      <w:pBdr>
        <w:top w:val="none" w:sz="2" w:space="0" w:color="FFFFFF"/>
        <w:left w:val="none" w:sz="2" w:space="0" w:color="FFFFFF"/>
        <w:bottom w:val="none" w:sz="2" w:space="0" w:color="FFFFFF"/>
        <w:right w:val="none" w:sz="2" w:space="0" w:color="FFFFFF"/>
      </w:pBdr>
      <w:autoSpaceDE w:val="0"/>
      <w:autoSpaceDN w:val="0"/>
      <w:spacing w:after="0"/>
      <w:jc w:val="center"/>
      <w:textAlignment w:val="center"/>
    </w:pPr>
    <w:rPr>
      <w:rFonts w:ascii="맑은 고딕" w:eastAsia="맑은 고딕"/>
      <w:b/>
      <w:color w:val="4472C4"/>
      <w:sz w:val="18"/>
    </w:rPr>
  </w:style>
  <w:style w:type="paragraph" w:customStyle="1" w:styleId="100">
    <w:name w:val="본문(중고딕10)"/>
    <w:uiPriority w:val="64"/>
    <w:pPr>
      <w:widowControl w:val="0"/>
      <w:pBdr>
        <w:top w:val="none" w:sz="2" w:space="0" w:color="FFFFFF"/>
        <w:left w:val="none" w:sz="2" w:space="0" w:color="FFFFFF"/>
        <w:bottom w:val="none" w:sz="2" w:space="0" w:color="FFFFFF"/>
        <w:right w:val="none" w:sz="2" w:space="0" w:color="FFFFFF"/>
      </w:pBdr>
      <w:wordWrap w:val="0"/>
      <w:autoSpaceDE w:val="0"/>
      <w:autoSpaceDN w:val="0"/>
      <w:spacing w:after="113" w:line="360" w:lineRule="auto"/>
      <w:jc w:val="both"/>
      <w:textAlignment w:val="baseline"/>
    </w:pPr>
    <w:rPr>
      <w:rFonts w:ascii="한양신명조" w:eastAsia="한양신명조"/>
      <w:color w:val="000000"/>
      <w:sz w:val="30"/>
    </w:rPr>
  </w:style>
  <w:style w:type="paragraph" w:customStyle="1" w:styleId="110">
    <w:name w:val="바탕글 사본11"/>
    <w:uiPriority w:val="65"/>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바탕" w:eastAsia="바탕"/>
      <w:color w:val="000000"/>
      <w:sz w:val="20"/>
    </w:rPr>
  </w:style>
  <w:style w:type="paragraph" w:styleId="af8">
    <w:name w:val="header"/>
    <w:basedOn w:val="a"/>
    <w:link w:val="Char"/>
    <w:uiPriority w:val="99"/>
    <w:unhideWhenUsed/>
    <w:rsid w:val="00D60B7B"/>
    <w:pPr>
      <w:tabs>
        <w:tab w:val="center" w:pos="4513"/>
        <w:tab w:val="right" w:pos="9026"/>
      </w:tabs>
      <w:snapToGrid w:val="0"/>
    </w:pPr>
  </w:style>
  <w:style w:type="character" w:customStyle="1" w:styleId="Char">
    <w:name w:val="머리글 Char"/>
    <w:basedOn w:val="a0"/>
    <w:link w:val="af8"/>
    <w:uiPriority w:val="99"/>
    <w:rsid w:val="00D60B7B"/>
  </w:style>
  <w:style w:type="paragraph" w:styleId="af9">
    <w:name w:val="footer"/>
    <w:basedOn w:val="a"/>
    <w:link w:val="Char0"/>
    <w:uiPriority w:val="99"/>
    <w:unhideWhenUsed/>
    <w:rsid w:val="00D60B7B"/>
    <w:pPr>
      <w:tabs>
        <w:tab w:val="center" w:pos="4513"/>
        <w:tab w:val="right" w:pos="9026"/>
      </w:tabs>
      <w:snapToGrid w:val="0"/>
    </w:pPr>
  </w:style>
  <w:style w:type="character" w:customStyle="1" w:styleId="Char0">
    <w:name w:val="바닥글 Char"/>
    <w:basedOn w:val="a0"/>
    <w:link w:val="af9"/>
    <w:uiPriority w:val="99"/>
    <w:rsid w:val="00D60B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836</Words>
  <Characters>4771</Characters>
  <Application>Microsoft Office Word</Application>
  <DocSecurity>0</DocSecurity>
  <Lines>39</Lines>
  <Paragraphs>11</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LEXCODE</cp:lastModifiedBy>
  <cp:revision>8</cp:revision>
  <dcterms:created xsi:type="dcterms:W3CDTF">2013-05-29T07:53:00Z</dcterms:created>
  <dcterms:modified xsi:type="dcterms:W3CDTF">2026-04-22T10:03:00Z</dcterms:modified>
  <cp:version>0501.0001.01</cp:version>
</cp:coreProperties>
</file>