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547" w:type="dxa"/>
        <w:tblInd w:w="28" w:type="dxa"/>
        <w:tblBorders>
          <w:top w:val="single" w:sz="3" w:space="0" w:color="000000"/>
          <w:left w:val="single" w:sz="3" w:space="0" w:color="000000"/>
          <w:bottom w:val="single" w:sz="3" w:space="0" w:color="000000"/>
          <w:right w:val="single" w:sz="3" w:space="0" w:color="000000"/>
        </w:tblBorders>
        <w:tblLayout w:type="fixed"/>
        <w:tblCellMar>
          <w:left w:w="28" w:type="dxa"/>
          <w:right w:w="28" w:type="dxa"/>
        </w:tblCellMar>
        <w:tblLook w:val="04A0" w:firstRow="1" w:lastRow="0" w:firstColumn="1" w:lastColumn="0" w:noHBand="0" w:noVBand="1"/>
      </w:tblPr>
      <w:tblGrid>
        <w:gridCol w:w="1699"/>
        <w:gridCol w:w="2385"/>
        <w:gridCol w:w="1203"/>
        <w:gridCol w:w="970"/>
        <w:gridCol w:w="736"/>
        <w:gridCol w:w="450"/>
        <w:gridCol w:w="938"/>
        <w:gridCol w:w="1166"/>
      </w:tblGrid>
      <w:tr w:rsidR="00735710" w:rsidRPr="00B5734A" w14:paraId="0FEE4FD7" w14:textId="77777777" w:rsidTr="00735710">
        <w:trPr>
          <w:trHeight w:val="433"/>
        </w:trPr>
        <w:tc>
          <w:tcPr>
            <w:tcW w:w="1699" w:type="dxa"/>
            <w:vMerge w:val="restart"/>
            <w:tcBorders>
              <w:top w:val="single" w:sz="9" w:space="0" w:color="000000"/>
              <w:left w:val="single" w:sz="9" w:space="0" w:color="000000"/>
              <w:bottom w:val="single" w:sz="9" w:space="0" w:color="000000"/>
              <w:right w:val="single" w:sz="5" w:space="0" w:color="000000"/>
            </w:tcBorders>
            <w:vAlign w:val="center"/>
          </w:tcPr>
          <w:p w14:paraId="02ABA7D1" w14:textId="77777777" w:rsidR="00735710" w:rsidRPr="00B5734A" w:rsidRDefault="00735710" w:rsidP="00735710">
            <w:pPr>
              <w:pStyle w:val="a3"/>
              <w:wordWrap/>
              <w:spacing w:line="240" w:lineRule="auto"/>
              <w:jc w:val="center"/>
              <w:rPr>
                <w:rFonts w:ascii="Arial" w:eastAsiaTheme="majorHAnsi" w:hAnsi="Arial" w:cs="Arial"/>
                <w:sz w:val="18"/>
                <w:szCs w:val="22"/>
              </w:rPr>
            </w:pPr>
            <w:bookmarkStart w:id="0" w:name="_top"/>
            <w:bookmarkEnd w:id="0"/>
            <w:r w:rsidRPr="00B5734A">
              <w:rPr>
                <w:rFonts w:ascii="Arial" w:eastAsiaTheme="majorHAnsi" w:hAnsi="Arial" w:cs="Arial"/>
                <w:noProof/>
                <w:sz w:val="18"/>
                <w:szCs w:val="22"/>
              </w:rPr>
              <w:drawing>
                <wp:inline distT="0" distB="0" distL="0" distR="0" wp14:anchorId="706A5FC3" wp14:editId="3BE89D19">
                  <wp:extent cx="885190" cy="590550"/>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4ae03b7b.JPG"/>
                          <pic:cNvPicPr/>
                        </pic:nvPicPr>
                        <pic:blipFill rotWithShape="1">
                          <a:blip r:embed="rId7"/>
                          <a:srcRect b="21052"/>
                          <a:stretch>
                            <a:fillRect/>
                          </a:stretch>
                        </pic:blipFill>
                        <pic:spPr bwMode="auto">
                          <a:xfrm>
                            <a:off x="0" y="0"/>
                            <a:ext cx="885190" cy="590550"/>
                          </a:xfrm>
                          <a:prstGeom prst="rect">
                            <a:avLst/>
                          </a:prstGeom>
                          <a:ln>
                            <a:noFill/>
                          </a:ln>
                          <a:effectLst/>
                          <a:extLst>
                            <a:ext uri="{53640926-AAD7-44D8-BBD7-CCE9431645EC}">
                              <a14:shadowObscured xmlns:a14="http://schemas.microsoft.com/office/drawing/2010/main"/>
                            </a:ext>
                          </a:extLst>
                        </pic:spPr>
                      </pic:pic>
                    </a:graphicData>
                  </a:graphic>
                </wp:inline>
              </w:drawing>
            </w:r>
          </w:p>
          <w:p w14:paraId="0FEE4FD2" w14:textId="472430BF"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b/>
                <w:bCs/>
                <w:sz w:val="22"/>
                <w:szCs w:val="32"/>
              </w:rPr>
              <w:t>Gyeongsangbuk-do</w:t>
            </w:r>
          </w:p>
        </w:tc>
        <w:tc>
          <w:tcPr>
            <w:tcW w:w="2385" w:type="dxa"/>
            <w:vMerge w:val="restart"/>
            <w:tcBorders>
              <w:top w:val="single" w:sz="9" w:space="0" w:color="000000"/>
              <w:left w:val="single" w:sz="5" w:space="0" w:color="000000"/>
              <w:bottom w:val="single" w:sz="9" w:space="0" w:color="000000"/>
              <w:right w:val="double" w:sz="4" w:space="0" w:color="000000"/>
            </w:tcBorders>
            <w:vAlign w:val="center"/>
          </w:tcPr>
          <w:p w14:paraId="0FEE4FD3" w14:textId="533080B2" w:rsidR="00735710" w:rsidRPr="00B5734A" w:rsidRDefault="00735710" w:rsidP="00735710">
            <w:pPr>
              <w:pStyle w:val="a3"/>
              <w:wordWrap/>
              <w:spacing w:line="240" w:lineRule="auto"/>
              <w:jc w:val="center"/>
              <w:rPr>
                <w:rFonts w:ascii="Arial" w:eastAsiaTheme="majorHAnsi" w:hAnsi="Arial" w:cs="Arial"/>
                <w:b/>
                <w:bCs/>
                <w:sz w:val="44"/>
                <w:szCs w:val="56"/>
              </w:rPr>
            </w:pPr>
            <w:r w:rsidRPr="00B5734A">
              <w:rPr>
                <w:rFonts w:ascii="Arial" w:eastAsiaTheme="majorHAnsi" w:hAnsi="Arial" w:cs="Arial"/>
                <w:b/>
                <w:bCs/>
                <w:noProof/>
                <w:sz w:val="44"/>
                <w:szCs w:val="56"/>
              </w:rPr>
              <w:t>Press Release</w:t>
            </w:r>
          </w:p>
          <w:p w14:paraId="0FEE4FD4"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8"/>
                <w:szCs w:val="22"/>
              </w:rPr>
              <w:t>【</w:t>
            </w:r>
            <w:r w:rsidRPr="00B5734A">
              <w:rPr>
                <w:rFonts w:ascii="Arial" w:eastAsiaTheme="majorHAnsi" w:hAnsi="Arial" w:cs="Arial"/>
                <w:sz w:val="28"/>
                <w:szCs w:val="22"/>
              </w:rPr>
              <w:t>April 17, 2026 (Fri)</w:t>
            </w:r>
            <w:r w:rsidRPr="00B5734A">
              <w:rPr>
                <w:rFonts w:ascii="Arial" w:eastAsiaTheme="majorHAnsi" w:hAnsi="Arial" w:cs="Arial"/>
                <w:sz w:val="28"/>
                <w:szCs w:val="22"/>
              </w:rPr>
              <w:t>】</w:t>
            </w:r>
          </w:p>
        </w:tc>
        <w:tc>
          <w:tcPr>
            <w:tcW w:w="1203" w:type="dxa"/>
            <w:tcBorders>
              <w:top w:val="single" w:sz="9" w:space="0" w:color="000000"/>
              <w:left w:val="double" w:sz="4" w:space="0" w:color="000000"/>
              <w:bottom w:val="single" w:sz="3" w:space="0" w:color="000000"/>
              <w:right w:val="single" w:sz="5" w:space="0" w:color="000000"/>
            </w:tcBorders>
            <w:vAlign w:val="center"/>
          </w:tcPr>
          <w:p w14:paraId="0FEE4FD5"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Division in Charge</w:t>
            </w:r>
          </w:p>
        </w:tc>
        <w:tc>
          <w:tcPr>
            <w:tcW w:w="4260" w:type="dxa"/>
            <w:gridSpan w:val="5"/>
            <w:tcBorders>
              <w:top w:val="single" w:sz="9" w:space="0" w:color="000000"/>
              <w:left w:val="single" w:sz="5" w:space="0" w:color="000000"/>
              <w:bottom w:val="single" w:sz="3" w:space="0" w:color="000000"/>
              <w:right w:val="single" w:sz="9" w:space="0" w:color="000000"/>
            </w:tcBorders>
            <w:vAlign w:val="center"/>
          </w:tcPr>
          <w:p w14:paraId="0FEE4FD6"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New Consolidated Airport Investment Office, Division of Investment Promotion</w:t>
            </w:r>
          </w:p>
        </w:tc>
      </w:tr>
      <w:tr w:rsidR="00735710" w:rsidRPr="00B5734A" w14:paraId="0FEE4FDD" w14:textId="77777777" w:rsidTr="00735710">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0FEE4FD8" w14:textId="77777777" w:rsidR="00735710" w:rsidRPr="00B5734A" w:rsidRDefault="00735710" w:rsidP="00735710">
            <w:pPr>
              <w:pStyle w:val="a3"/>
              <w:wordWrap/>
              <w:spacing w:line="240" w:lineRule="auto"/>
              <w:rPr>
                <w:rFonts w:ascii="Arial" w:eastAsiaTheme="majorHAnsi" w:hAnsi="Arial" w:cs="Arial"/>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0FEE4FD9" w14:textId="77777777" w:rsidR="00735710" w:rsidRPr="00B5734A" w:rsidRDefault="00735710" w:rsidP="00735710">
            <w:pPr>
              <w:pStyle w:val="a3"/>
              <w:wordWrap/>
              <w:spacing w:line="240" w:lineRule="auto"/>
              <w:rPr>
                <w:rFonts w:ascii="Arial" w:eastAsiaTheme="majorHAnsi" w:hAnsi="Arial" w:cs="Arial"/>
                <w:sz w:val="18"/>
                <w:szCs w:val="22"/>
              </w:rPr>
            </w:pPr>
          </w:p>
        </w:tc>
        <w:tc>
          <w:tcPr>
            <w:tcW w:w="1203" w:type="dxa"/>
            <w:vMerge w:val="restart"/>
            <w:tcBorders>
              <w:top w:val="single" w:sz="3" w:space="0" w:color="000000"/>
              <w:left w:val="double" w:sz="4" w:space="0" w:color="000000"/>
              <w:bottom w:val="single" w:sz="3" w:space="0" w:color="000000"/>
              <w:right w:val="single" w:sz="5" w:space="0" w:color="000000"/>
            </w:tcBorders>
            <w:vAlign w:val="center"/>
          </w:tcPr>
          <w:p w14:paraId="0FEE4FDA" w14:textId="07B1B669"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Author</w:t>
            </w:r>
          </w:p>
        </w:tc>
        <w:tc>
          <w:tcPr>
            <w:tcW w:w="970" w:type="dxa"/>
            <w:tcBorders>
              <w:top w:val="single" w:sz="3" w:space="0" w:color="000000"/>
              <w:left w:val="single" w:sz="5" w:space="0" w:color="000000"/>
              <w:bottom w:val="single" w:sz="3" w:space="0" w:color="000000"/>
              <w:right w:val="single" w:sz="3" w:space="0" w:color="000000"/>
            </w:tcBorders>
            <w:vAlign w:val="center"/>
          </w:tcPr>
          <w:p w14:paraId="0FEE4FDB" w14:textId="43905B52"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Director</w:t>
            </w:r>
          </w:p>
        </w:tc>
        <w:tc>
          <w:tcPr>
            <w:tcW w:w="3290" w:type="dxa"/>
            <w:gridSpan w:val="4"/>
            <w:tcBorders>
              <w:top w:val="single" w:sz="3" w:space="0" w:color="000000"/>
              <w:left w:val="single" w:sz="3" w:space="0" w:color="000000"/>
              <w:bottom w:val="single" w:sz="3" w:space="0" w:color="000000"/>
              <w:right w:val="single" w:sz="9" w:space="0" w:color="000000"/>
            </w:tcBorders>
            <w:vAlign w:val="center"/>
          </w:tcPr>
          <w:p w14:paraId="0FEE4FDC" w14:textId="21F84B3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 xml:space="preserve">Shin Seung-hoon </w:t>
            </w:r>
          </w:p>
        </w:tc>
      </w:tr>
      <w:tr w:rsidR="00735710" w:rsidRPr="00B5734A" w14:paraId="0FEE4FE5" w14:textId="77777777" w:rsidTr="00735710">
        <w:trPr>
          <w:trHeight w:val="433"/>
        </w:trPr>
        <w:tc>
          <w:tcPr>
            <w:tcW w:w="1699" w:type="dxa"/>
            <w:vMerge/>
            <w:tcBorders>
              <w:top w:val="single" w:sz="9" w:space="0" w:color="000000"/>
              <w:left w:val="single" w:sz="9" w:space="0" w:color="000000"/>
              <w:bottom w:val="single" w:sz="9" w:space="0" w:color="000000"/>
              <w:right w:val="single" w:sz="5" w:space="0" w:color="000000"/>
            </w:tcBorders>
          </w:tcPr>
          <w:p w14:paraId="0FEE4FDE" w14:textId="77777777" w:rsidR="00735710" w:rsidRPr="00B5734A" w:rsidRDefault="00735710" w:rsidP="00735710">
            <w:pPr>
              <w:pStyle w:val="a3"/>
              <w:wordWrap/>
              <w:spacing w:line="240" w:lineRule="auto"/>
              <w:rPr>
                <w:rFonts w:ascii="Arial" w:eastAsiaTheme="majorHAnsi" w:hAnsi="Arial" w:cs="Arial"/>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0FEE4FDF" w14:textId="77777777" w:rsidR="00735710" w:rsidRPr="00B5734A" w:rsidRDefault="00735710" w:rsidP="00735710">
            <w:pPr>
              <w:pStyle w:val="a3"/>
              <w:wordWrap/>
              <w:spacing w:line="240" w:lineRule="auto"/>
              <w:rPr>
                <w:rFonts w:ascii="Arial" w:eastAsiaTheme="majorHAnsi" w:hAnsi="Arial" w:cs="Arial"/>
                <w:sz w:val="18"/>
                <w:szCs w:val="22"/>
              </w:rPr>
            </w:pPr>
          </w:p>
        </w:tc>
        <w:tc>
          <w:tcPr>
            <w:tcW w:w="1203" w:type="dxa"/>
            <w:vMerge/>
            <w:tcBorders>
              <w:top w:val="single" w:sz="3" w:space="0" w:color="000000"/>
              <w:left w:val="double" w:sz="4" w:space="0" w:color="000000"/>
              <w:bottom w:val="single" w:sz="3" w:space="0" w:color="000000"/>
              <w:right w:val="single" w:sz="5" w:space="0" w:color="000000"/>
            </w:tcBorders>
          </w:tcPr>
          <w:p w14:paraId="0FEE4FE0" w14:textId="77777777" w:rsidR="00735710" w:rsidRPr="00B5734A" w:rsidRDefault="00735710" w:rsidP="00735710">
            <w:pPr>
              <w:pStyle w:val="a3"/>
              <w:wordWrap/>
              <w:spacing w:line="240" w:lineRule="auto"/>
              <w:rPr>
                <w:rFonts w:ascii="Arial" w:eastAsiaTheme="majorHAnsi" w:hAnsi="Arial" w:cs="Arial"/>
                <w:sz w:val="18"/>
                <w:szCs w:val="22"/>
              </w:rPr>
            </w:pPr>
          </w:p>
        </w:tc>
        <w:tc>
          <w:tcPr>
            <w:tcW w:w="970" w:type="dxa"/>
            <w:tcBorders>
              <w:top w:val="single" w:sz="3" w:space="0" w:color="000000"/>
              <w:left w:val="single" w:sz="5" w:space="0" w:color="000000"/>
              <w:bottom w:val="single" w:sz="3" w:space="0" w:color="000000"/>
              <w:right w:val="single" w:sz="3" w:space="0" w:color="000000"/>
            </w:tcBorders>
            <w:vAlign w:val="center"/>
          </w:tcPr>
          <w:p w14:paraId="0FEE4FE1" w14:textId="30083E4E"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Team Leader</w:t>
            </w:r>
          </w:p>
        </w:tc>
        <w:tc>
          <w:tcPr>
            <w:tcW w:w="1186" w:type="dxa"/>
            <w:gridSpan w:val="2"/>
            <w:tcBorders>
              <w:top w:val="single" w:sz="3" w:space="0" w:color="000000"/>
              <w:left w:val="single" w:sz="3" w:space="0" w:color="000000"/>
              <w:bottom w:val="single" w:sz="3" w:space="0" w:color="000000"/>
              <w:right w:val="single" w:sz="3" w:space="0" w:color="000000"/>
            </w:tcBorders>
            <w:vAlign w:val="center"/>
          </w:tcPr>
          <w:p w14:paraId="0FEE4FE2"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Jeon Jin-young</w:t>
            </w:r>
          </w:p>
        </w:tc>
        <w:tc>
          <w:tcPr>
            <w:tcW w:w="938" w:type="dxa"/>
            <w:tcBorders>
              <w:top w:val="single" w:sz="3" w:space="0" w:color="000000"/>
              <w:left w:val="single" w:sz="3" w:space="0" w:color="000000"/>
              <w:bottom w:val="single" w:sz="3" w:space="0" w:color="000000"/>
              <w:right w:val="single" w:sz="3" w:space="0" w:color="000000"/>
            </w:tcBorders>
            <w:vAlign w:val="center"/>
          </w:tcPr>
          <w:p w14:paraId="0FEE4FE3"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Senior Officer</w:t>
            </w:r>
          </w:p>
        </w:tc>
        <w:tc>
          <w:tcPr>
            <w:tcW w:w="1166" w:type="dxa"/>
            <w:tcBorders>
              <w:top w:val="single" w:sz="3" w:space="0" w:color="000000"/>
              <w:left w:val="single" w:sz="3" w:space="0" w:color="000000"/>
              <w:bottom w:val="single" w:sz="3" w:space="0" w:color="000000"/>
              <w:right w:val="single" w:sz="9" w:space="0" w:color="000000"/>
            </w:tcBorders>
            <w:vAlign w:val="center"/>
          </w:tcPr>
          <w:p w14:paraId="0FEE4FE4"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Lee Jin-young</w:t>
            </w:r>
          </w:p>
        </w:tc>
      </w:tr>
      <w:tr w:rsidR="00735710" w:rsidRPr="00B5734A" w14:paraId="0FEE4FEC" w14:textId="77777777" w:rsidTr="00735710">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0FEE4FE6" w14:textId="77777777" w:rsidR="00735710" w:rsidRPr="00B5734A" w:rsidRDefault="00735710" w:rsidP="00735710">
            <w:pPr>
              <w:pStyle w:val="a3"/>
              <w:wordWrap/>
              <w:spacing w:line="240" w:lineRule="auto"/>
              <w:rPr>
                <w:rFonts w:ascii="Arial" w:eastAsiaTheme="majorHAnsi" w:hAnsi="Arial" w:cs="Arial"/>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0FEE4FE7" w14:textId="77777777" w:rsidR="00735710" w:rsidRPr="00B5734A" w:rsidRDefault="00735710" w:rsidP="00735710">
            <w:pPr>
              <w:pStyle w:val="a3"/>
              <w:wordWrap/>
              <w:spacing w:line="240" w:lineRule="auto"/>
              <w:rPr>
                <w:rFonts w:ascii="Arial" w:eastAsiaTheme="majorHAnsi" w:hAnsi="Arial" w:cs="Arial"/>
                <w:sz w:val="18"/>
                <w:szCs w:val="22"/>
              </w:rPr>
            </w:pPr>
          </w:p>
        </w:tc>
        <w:tc>
          <w:tcPr>
            <w:tcW w:w="1203" w:type="dxa"/>
            <w:tcBorders>
              <w:top w:val="single" w:sz="3" w:space="0" w:color="000000"/>
              <w:left w:val="double" w:sz="4" w:space="0" w:color="000000"/>
              <w:bottom w:val="single" w:sz="9" w:space="0" w:color="000000"/>
              <w:right w:val="single" w:sz="5" w:space="0" w:color="000000"/>
            </w:tcBorders>
            <w:vAlign w:val="center"/>
          </w:tcPr>
          <w:p w14:paraId="0FEE4FE8" w14:textId="3346708A"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Contact Information</w:t>
            </w:r>
          </w:p>
        </w:tc>
        <w:tc>
          <w:tcPr>
            <w:tcW w:w="1706" w:type="dxa"/>
            <w:gridSpan w:val="2"/>
            <w:tcBorders>
              <w:top w:val="single" w:sz="3" w:space="0" w:color="000000"/>
              <w:left w:val="single" w:sz="5" w:space="0" w:color="000000"/>
              <w:bottom w:val="single" w:sz="9" w:space="0" w:color="000000"/>
              <w:right w:val="single" w:sz="5" w:space="0" w:color="000000"/>
            </w:tcBorders>
            <w:vAlign w:val="center"/>
          </w:tcPr>
          <w:p w14:paraId="0FEE4FE9"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+82-54-880-4612</w:t>
            </w:r>
          </w:p>
        </w:tc>
        <w:tc>
          <w:tcPr>
            <w:tcW w:w="450" w:type="dxa"/>
            <w:tcBorders>
              <w:top w:val="single" w:sz="3" w:space="0" w:color="000000"/>
              <w:left w:val="single" w:sz="5" w:space="0" w:color="000000"/>
              <w:bottom w:val="single" w:sz="9" w:space="0" w:color="000000"/>
              <w:right w:val="single" w:sz="5" w:space="0" w:color="000000"/>
            </w:tcBorders>
            <w:vAlign w:val="center"/>
          </w:tcPr>
          <w:p w14:paraId="0FEE4FEA"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CP</w:t>
            </w:r>
          </w:p>
        </w:tc>
        <w:tc>
          <w:tcPr>
            <w:tcW w:w="2104" w:type="dxa"/>
            <w:gridSpan w:val="2"/>
            <w:tcBorders>
              <w:top w:val="single" w:sz="3" w:space="0" w:color="000000"/>
              <w:left w:val="single" w:sz="5" w:space="0" w:color="000000"/>
              <w:bottom w:val="single" w:sz="9" w:space="0" w:color="000000"/>
              <w:right w:val="single" w:sz="9" w:space="0" w:color="000000"/>
            </w:tcBorders>
            <w:vAlign w:val="center"/>
          </w:tcPr>
          <w:p w14:paraId="0FEE4FEB" w14:textId="77777777" w:rsidR="00735710" w:rsidRPr="00B5734A" w:rsidRDefault="00735710" w:rsidP="00735710">
            <w:pPr>
              <w:pStyle w:val="a3"/>
              <w:wordWrap/>
              <w:spacing w:line="240" w:lineRule="auto"/>
              <w:jc w:val="center"/>
              <w:rPr>
                <w:rFonts w:ascii="Arial" w:eastAsiaTheme="majorHAnsi" w:hAnsi="Arial" w:cs="Arial"/>
                <w:sz w:val="18"/>
                <w:szCs w:val="22"/>
              </w:rPr>
            </w:pPr>
            <w:r w:rsidRPr="00B5734A">
              <w:rPr>
                <w:rFonts w:ascii="Arial" w:eastAsiaTheme="majorHAnsi" w:hAnsi="Arial" w:cs="Arial"/>
                <w:sz w:val="24"/>
                <w:szCs w:val="22"/>
              </w:rPr>
              <w:t>+82-10-4936-2391</w:t>
            </w:r>
          </w:p>
        </w:tc>
      </w:tr>
    </w:tbl>
    <w:p w14:paraId="0FEE4FED" w14:textId="77777777" w:rsidR="009361A0" w:rsidRPr="00B5734A" w:rsidRDefault="009361A0" w:rsidP="00703E21">
      <w:pPr>
        <w:pStyle w:val="a3"/>
        <w:wordWrap/>
        <w:spacing w:line="240" w:lineRule="auto"/>
        <w:rPr>
          <w:rFonts w:ascii="Arial" w:eastAsiaTheme="majorHAnsi" w:hAnsi="Arial" w:cs="Arial"/>
          <w:sz w:val="18"/>
          <w:szCs w:val="22"/>
        </w:rPr>
      </w:pPr>
    </w:p>
    <w:tbl>
      <w:tblPr>
        <w:tblOverlap w:val="never"/>
        <w:tblW w:w="958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2"/>
      </w:tblGrid>
      <w:tr w:rsidR="009361A0" w:rsidRPr="00B5734A" w14:paraId="0FEE4FF1" w14:textId="77777777">
        <w:trPr>
          <w:trHeight w:val="2147"/>
        </w:trPr>
        <w:tc>
          <w:tcPr>
            <w:tcW w:w="9582" w:type="dxa"/>
            <w:tcBorders>
              <w:top w:val="single" w:sz="11" w:space="0" w:color="0000FF"/>
              <w:left w:val="none" w:sz="2" w:space="0" w:color="FFFFFF"/>
              <w:bottom w:val="single" w:sz="23" w:space="0" w:color="3366FF"/>
              <w:right w:val="none" w:sz="2" w:space="0" w:color="FFFFFF"/>
            </w:tcBorders>
            <w:vAlign w:val="center"/>
          </w:tcPr>
          <w:p w14:paraId="0FEE4FEE" w14:textId="77777777" w:rsidR="009361A0" w:rsidRPr="00B5734A" w:rsidRDefault="003A2FDB" w:rsidP="00703E21">
            <w:pPr>
              <w:pStyle w:val="a3"/>
              <w:wordWrap/>
              <w:spacing w:line="240" w:lineRule="auto"/>
              <w:jc w:val="center"/>
              <w:rPr>
                <w:rFonts w:ascii="Arial" w:eastAsiaTheme="majorHAnsi" w:hAnsi="Arial" w:cs="Arial"/>
                <w:sz w:val="18"/>
                <w:szCs w:val="22"/>
              </w:rPr>
            </w:pPr>
            <w:r w:rsidRPr="00B5734A">
              <w:rPr>
                <w:rFonts w:ascii="Arial" w:eastAsiaTheme="majorHAnsi" w:hAnsi="Arial" w:cs="Arial"/>
                <w:b/>
                <w:bCs/>
                <w:sz w:val="44"/>
                <w:szCs w:val="22"/>
              </w:rPr>
              <w:t>Gyeongsangbuk-do Hosts "Post-APEC" Investment Forum in Shenzhen, Expanding Its Global Business Frontiers</w:t>
            </w:r>
          </w:p>
          <w:p w14:paraId="0FEE4FEF" w14:textId="77777777" w:rsidR="009361A0" w:rsidRPr="00B5734A" w:rsidRDefault="003A2FDB" w:rsidP="00703E21">
            <w:pPr>
              <w:pStyle w:val="a3"/>
              <w:wordWrap/>
              <w:spacing w:line="240" w:lineRule="auto"/>
              <w:jc w:val="center"/>
              <w:rPr>
                <w:rFonts w:ascii="Arial" w:eastAsiaTheme="majorHAnsi" w:hAnsi="Arial" w:cs="Arial"/>
                <w:sz w:val="18"/>
                <w:szCs w:val="22"/>
              </w:rPr>
            </w:pPr>
            <w:r w:rsidRPr="00B5734A">
              <w:rPr>
                <w:rFonts w:ascii="Arial" w:eastAsiaTheme="majorHAnsi" w:hAnsi="Arial" w:cs="Arial"/>
                <w:b/>
                <w:bCs/>
                <w:sz w:val="28"/>
                <w:szCs w:val="22"/>
              </w:rPr>
              <w:t>- April 16–17, Shenzhen: Strengthening the foundation for economic cooperation and building networks among APEC host cities -</w:t>
            </w:r>
          </w:p>
          <w:p w14:paraId="0FEE4FF0" w14:textId="77777777" w:rsidR="009361A0" w:rsidRPr="00B5734A" w:rsidRDefault="003A2FDB" w:rsidP="00703E21">
            <w:pPr>
              <w:pStyle w:val="a3"/>
              <w:wordWrap/>
              <w:spacing w:line="240" w:lineRule="auto"/>
              <w:jc w:val="center"/>
              <w:rPr>
                <w:rFonts w:ascii="Arial" w:eastAsiaTheme="majorHAnsi" w:hAnsi="Arial" w:cs="Arial"/>
                <w:sz w:val="18"/>
                <w:szCs w:val="22"/>
              </w:rPr>
            </w:pPr>
            <w:r w:rsidRPr="00B5734A">
              <w:rPr>
                <w:rFonts w:ascii="Arial" w:eastAsiaTheme="majorHAnsi" w:hAnsi="Arial" w:cs="Arial"/>
                <w:b/>
                <w:bCs/>
                <w:sz w:val="28"/>
                <w:szCs w:val="22"/>
              </w:rPr>
              <w:t>- Building on the results in the greater Shanghai region, expansion into inland China planned for June -</w:t>
            </w:r>
          </w:p>
        </w:tc>
      </w:tr>
    </w:tbl>
    <w:p w14:paraId="0FEE4FF2" w14:textId="77777777" w:rsidR="009361A0" w:rsidRPr="00B5734A" w:rsidRDefault="009361A0" w:rsidP="00703E21">
      <w:pPr>
        <w:pStyle w:val="a3"/>
        <w:wordWrap/>
        <w:spacing w:line="240" w:lineRule="auto"/>
        <w:jc w:val="center"/>
        <w:rPr>
          <w:rFonts w:ascii="Arial" w:eastAsiaTheme="majorHAnsi" w:hAnsi="Arial" w:cs="Arial"/>
          <w:sz w:val="18"/>
          <w:szCs w:val="22"/>
        </w:rPr>
      </w:pPr>
    </w:p>
    <w:p w14:paraId="0FEE4FF3" w14:textId="4D6A51B9"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From April 16 to 17, Gyeongsangbuk-do Province held the "Post-APEC Gyeongsangbuk-do China Investment Forum" in Shenzhen, known as China's "Silicon Valley," concluding its grand journey to expand its global business frontier.</w:t>
      </w:r>
    </w:p>
    <w:p w14:paraId="0FEE4FF4" w14:textId="77777777" w:rsidR="009361A0" w:rsidRPr="00B5734A" w:rsidRDefault="009361A0" w:rsidP="00703E21">
      <w:pPr>
        <w:pStyle w:val="a3"/>
        <w:wordWrap/>
        <w:spacing w:line="240" w:lineRule="auto"/>
        <w:rPr>
          <w:rFonts w:ascii="Arial" w:eastAsiaTheme="majorHAnsi" w:hAnsi="Arial" w:cs="Arial"/>
          <w:sz w:val="28"/>
          <w:szCs w:val="22"/>
        </w:rPr>
      </w:pPr>
    </w:p>
    <w:p w14:paraId="0FEE4FF5" w14:textId="60DC8D7E"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The event was hosted by Gyeongsangbuk-do Province and its cities and counties, and organized by the Gyeongbuk Economic Promotion Agency (GEPA). It served as a strategic platform to further solidify economic cooperation among APEC host cities and to connect Gyeongsangbuk-do’s outstanding investment environment with global business networks. More than 100 participants attended and expressed strong interest, including officials from Gyeongsangbuk-do Province and its cities and counties, local business figures,</w:t>
      </w:r>
      <w:r w:rsidRPr="00B5734A">
        <w:rPr>
          <w:rFonts w:ascii="Arial" w:eastAsiaTheme="majorHAnsi" w:hAnsi="Arial" w:cs="Arial"/>
          <w:sz w:val="28"/>
          <w:szCs w:val="22"/>
        </w:rPr>
        <w:t xml:space="preserve"> Kim Jong-seon, Commercial Consul at the Consulate General of the Republic of Korea in Guangzhou, and officials and business representatives from Shenzhen.</w:t>
      </w:r>
    </w:p>
    <w:p w14:paraId="0FEE4FF6" w14:textId="77777777" w:rsidR="009361A0" w:rsidRPr="00B5734A" w:rsidRDefault="009361A0" w:rsidP="00703E21">
      <w:pPr>
        <w:pStyle w:val="a3"/>
        <w:wordWrap/>
        <w:spacing w:line="240" w:lineRule="auto"/>
        <w:rPr>
          <w:rFonts w:ascii="Arial" w:eastAsiaTheme="majorHAnsi" w:hAnsi="Arial" w:cs="Arial"/>
          <w:sz w:val="28"/>
          <w:szCs w:val="22"/>
        </w:rPr>
      </w:pPr>
    </w:p>
    <w:p w14:paraId="0FEE4FF7" w14:textId="77777777" w:rsidR="009361A0" w:rsidRPr="00B5734A" w:rsidRDefault="003A2FDB" w:rsidP="00703E21">
      <w:pPr>
        <w:pStyle w:val="a3"/>
        <w:wordWrap/>
        <w:spacing w:line="240" w:lineRule="auto"/>
        <w:rPr>
          <w:rFonts w:ascii="Arial" w:eastAsiaTheme="majorHAnsi" w:hAnsi="Arial" w:cs="Arial"/>
          <w:sz w:val="18"/>
          <w:szCs w:val="22"/>
        </w:rPr>
      </w:pPr>
      <w:r w:rsidRPr="00B5734A">
        <w:rPr>
          <w:rFonts w:ascii="Arial" w:eastAsiaTheme="majorHAnsi" w:hAnsi="Arial" w:cs="Arial"/>
          <w:sz w:val="28"/>
          <w:szCs w:val="22"/>
        </w:rPr>
        <w:t>■ Cooperation Pledged with Shenzhen's Key Investment Institutions … Paving the Way for Substantial Exchange Between "Gyeongbuk-Shenzhen"</w:t>
      </w:r>
    </w:p>
    <w:p w14:paraId="0FEE4FF8" w14:textId="77777777" w:rsidR="009361A0" w:rsidRPr="00B5734A" w:rsidRDefault="003A2FDB" w:rsidP="00703E21">
      <w:pPr>
        <w:pStyle w:val="a3"/>
        <w:wordWrap/>
        <w:spacing w:line="240" w:lineRule="auto"/>
        <w:ind w:left="453" w:hanging="453"/>
        <w:rPr>
          <w:rFonts w:ascii="Arial" w:eastAsiaTheme="majorHAnsi" w:hAnsi="Arial" w:cs="Arial"/>
          <w:sz w:val="18"/>
          <w:szCs w:val="22"/>
        </w:rPr>
      </w:pPr>
      <w:r w:rsidRPr="00B5734A">
        <w:rPr>
          <w:rFonts w:ascii="Arial" w:hAnsi="Arial" w:cs="Arial"/>
          <w:sz w:val="28"/>
          <w:szCs w:val="22"/>
        </w:rPr>
        <w:t xml:space="preserve"> ∙ </w:t>
      </w:r>
      <w:r w:rsidRPr="00B5734A">
        <w:rPr>
          <w:rFonts w:ascii="Arial" w:eastAsiaTheme="majorHAnsi" w:hAnsi="Arial" w:cs="Arial"/>
          <w:sz w:val="28"/>
          <w:szCs w:val="22"/>
        </w:rPr>
        <w:t>Nanshan District Government-Led Platform "Go Global" (</w:t>
      </w:r>
      <w:r w:rsidRPr="00B5734A">
        <w:rPr>
          <w:rFonts w:ascii="Arial" w:eastAsiaTheme="majorHAnsi" w:hAnsi="Arial" w:cs="Arial"/>
          <w:sz w:val="28"/>
          <w:szCs w:val="22"/>
        </w:rPr>
        <w:t>全球服</w:t>
      </w:r>
      <w:r w:rsidRPr="00B5734A">
        <w:rPr>
          <w:rFonts w:ascii="Arial" w:eastAsia="Microsoft JhengHei" w:hAnsi="Arial" w:cs="Arial"/>
          <w:sz w:val="28"/>
          <w:szCs w:val="22"/>
        </w:rPr>
        <w:t>务</w:t>
      </w:r>
      <w:r w:rsidRPr="00B5734A">
        <w:rPr>
          <w:rFonts w:ascii="Arial" w:eastAsia="맑은 고딕" w:hAnsi="Arial" w:cs="Arial"/>
          <w:sz w:val="28"/>
          <w:szCs w:val="22"/>
        </w:rPr>
        <w:t>中心</w:t>
      </w:r>
      <w:r w:rsidRPr="00B5734A">
        <w:rPr>
          <w:rFonts w:ascii="Arial" w:hAnsi="Arial" w:cs="Arial"/>
          <w:sz w:val="28"/>
          <w:szCs w:val="22"/>
        </w:rPr>
        <w:t xml:space="preserve">): </w:t>
      </w:r>
      <w:r w:rsidRPr="00B5734A">
        <w:rPr>
          <w:rFonts w:ascii="Arial" w:eastAsiaTheme="majorHAnsi" w:hAnsi="Arial" w:cs="Arial"/>
          <w:sz w:val="28"/>
          <w:szCs w:val="22"/>
        </w:rPr>
        <w:t xml:space="preserve">"Go Global," the international business platform of Nanshan District—home to a concentration of global IT giants such as Tencent and DJI—supports Chinese companies expanding overseas and foreign companies entering </w:t>
      </w:r>
      <w:r w:rsidRPr="00B5734A">
        <w:rPr>
          <w:rFonts w:ascii="Arial" w:eastAsiaTheme="majorHAnsi" w:hAnsi="Arial" w:cs="Arial"/>
          <w:sz w:val="28"/>
          <w:szCs w:val="22"/>
        </w:rPr>
        <w:lastRenderedPageBreak/>
        <w:t>the Chinese market. The two sides pledged active cooperation during this visit. Plans are to build, in earnest, a one-stop administrative support and professional services ecosystem (covering legal, accounting, IP, and more) to facilitate not only the entry of Gyeongsangbuk-do’s companies into Chi</w:t>
      </w:r>
      <w:r w:rsidRPr="00B5734A">
        <w:rPr>
          <w:rFonts w:ascii="Arial" w:eastAsiaTheme="majorHAnsi" w:hAnsi="Arial" w:cs="Arial"/>
          <w:sz w:val="28"/>
          <w:szCs w:val="22"/>
        </w:rPr>
        <w:t>na but also the inflow of Shenzhen high-tech companies into the province.</w:t>
      </w:r>
    </w:p>
    <w:p w14:paraId="0FEE4FF9" w14:textId="77777777" w:rsidR="009361A0" w:rsidRPr="00B5734A" w:rsidRDefault="009361A0" w:rsidP="00703E21">
      <w:pPr>
        <w:pStyle w:val="a3"/>
        <w:wordWrap/>
        <w:spacing w:line="240" w:lineRule="auto"/>
        <w:ind w:left="453" w:hanging="453"/>
        <w:rPr>
          <w:rFonts w:ascii="Arial" w:eastAsiaTheme="majorHAnsi" w:hAnsi="Arial" w:cs="Arial"/>
          <w:b/>
          <w:sz w:val="18"/>
          <w:szCs w:val="22"/>
        </w:rPr>
      </w:pPr>
    </w:p>
    <w:p w14:paraId="0FEE4FFA" w14:textId="77777777" w:rsidR="009361A0" w:rsidRPr="00B5734A" w:rsidRDefault="003A2FDB" w:rsidP="00703E21">
      <w:pPr>
        <w:pStyle w:val="a3"/>
        <w:wordWrap/>
        <w:spacing w:line="240" w:lineRule="auto"/>
        <w:ind w:left="453" w:hanging="453"/>
        <w:rPr>
          <w:rFonts w:ascii="Arial" w:eastAsiaTheme="majorHAnsi" w:hAnsi="Arial" w:cs="Arial"/>
          <w:sz w:val="18"/>
          <w:szCs w:val="22"/>
        </w:rPr>
      </w:pPr>
      <w:r w:rsidRPr="00B5734A">
        <w:rPr>
          <w:rFonts w:ascii="Arial" w:hAnsi="Arial" w:cs="Arial"/>
          <w:sz w:val="18"/>
          <w:szCs w:val="22"/>
        </w:rPr>
        <w:t>∙</w:t>
      </w:r>
      <w:r w:rsidRPr="00B5734A">
        <w:rPr>
          <w:rFonts w:ascii="Arial" w:hAnsi="Arial" w:cs="Arial"/>
          <w:sz w:val="18"/>
          <w:szCs w:val="22"/>
        </w:rPr>
        <w:t xml:space="preserve"> Shenzhen SME Development Promotion Association (</w:t>
      </w:r>
      <w:r w:rsidRPr="00B5734A">
        <w:rPr>
          <w:rFonts w:ascii="Arial" w:hAnsi="Arial" w:cs="Arial"/>
          <w:sz w:val="18"/>
          <w:szCs w:val="22"/>
        </w:rPr>
        <w:t>深</w:t>
      </w:r>
      <w:r w:rsidRPr="00B5734A">
        <w:rPr>
          <w:rFonts w:ascii="Arial" w:eastAsia="Microsoft JhengHei" w:hAnsi="Arial" w:cs="Arial"/>
          <w:sz w:val="28"/>
          <w:szCs w:val="22"/>
        </w:rPr>
        <w:t>圳</w:t>
      </w:r>
      <w:r w:rsidRPr="00B5734A">
        <w:rPr>
          <w:rFonts w:ascii="Arial" w:eastAsia="맑은 고딕" w:hAnsi="Arial" w:cs="Arial"/>
          <w:sz w:val="28"/>
          <w:szCs w:val="22"/>
        </w:rPr>
        <w:t>市中小企</w:t>
      </w:r>
      <w:r w:rsidRPr="00B5734A">
        <w:rPr>
          <w:rFonts w:ascii="Arial" w:eastAsia="Microsoft JhengHei" w:hAnsi="Arial" w:cs="Arial"/>
          <w:sz w:val="28"/>
          <w:szCs w:val="22"/>
        </w:rPr>
        <w:t>业发</w:t>
      </w:r>
      <w:r w:rsidRPr="00B5734A">
        <w:rPr>
          <w:rFonts w:ascii="Arial" w:eastAsia="맑은 고딕" w:hAnsi="Arial" w:cs="Arial"/>
          <w:sz w:val="28"/>
          <w:szCs w:val="22"/>
        </w:rPr>
        <w:t>展促</w:t>
      </w:r>
      <w:r w:rsidRPr="00B5734A">
        <w:rPr>
          <w:rFonts w:ascii="Arial" w:eastAsia="Microsoft JhengHei" w:hAnsi="Arial" w:cs="Arial"/>
          <w:sz w:val="28"/>
          <w:szCs w:val="22"/>
        </w:rPr>
        <w:t>进会</w:t>
      </w:r>
      <w:r w:rsidRPr="00B5734A">
        <w:rPr>
          <w:rFonts w:ascii="Arial" w:hAnsi="Arial" w:cs="Arial"/>
          <w:sz w:val="28"/>
          <w:szCs w:val="22"/>
        </w:rPr>
        <w:t>): An MOU was signed with Shenzhen's largest business association, which has more than 8,000 member companies. The province plans to actively target outstanding manufacturing companies that can create synergies with Gyeongsangbuk-do's semiconductor and robotics industries, with particular use of the Association's network of "Specialized, Refined, Distinctive, and Innovative" (Inno-Biz) small giants.</w:t>
      </w:r>
    </w:p>
    <w:p w14:paraId="0FEE4FFB" w14:textId="77777777" w:rsidR="009361A0" w:rsidRPr="00B5734A" w:rsidRDefault="009361A0" w:rsidP="00703E21">
      <w:pPr>
        <w:pStyle w:val="a3"/>
        <w:wordWrap/>
        <w:spacing w:line="240" w:lineRule="auto"/>
        <w:rPr>
          <w:rFonts w:ascii="Arial" w:eastAsiaTheme="majorHAnsi" w:hAnsi="Arial" w:cs="Arial"/>
          <w:sz w:val="28"/>
          <w:szCs w:val="22"/>
        </w:rPr>
      </w:pPr>
    </w:p>
    <w:p w14:paraId="0FEE4FFC" w14:textId="77777777" w:rsidR="009361A0" w:rsidRPr="00B5734A" w:rsidRDefault="003A2FDB" w:rsidP="00703E21">
      <w:pPr>
        <w:pStyle w:val="a3"/>
        <w:wordWrap/>
        <w:spacing w:line="240" w:lineRule="auto"/>
        <w:rPr>
          <w:rFonts w:ascii="Arial" w:eastAsiaTheme="majorHAnsi" w:hAnsi="Arial" w:cs="Arial"/>
          <w:sz w:val="18"/>
          <w:szCs w:val="22"/>
        </w:rPr>
      </w:pPr>
      <w:r w:rsidRPr="00B5734A">
        <w:rPr>
          <w:rFonts w:ascii="Arial" w:eastAsiaTheme="majorHAnsi" w:hAnsi="Arial" w:cs="Arial"/>
          <w:sz w:val="28"/>
          <w:szCs w:val="22"/>
        </w:rPr>
        <w:t>■ Qianhai District Meetings and Forum… Strengthening the "Economic Alliance" Among APEC Host Sites</w:t>
      </w:r>
    </w:p>
    <w:p w14:paraId="0FEE4FFD" w14:textId="77777777" w:rsidR="009361A0" w:rsidRPr="00B5734A" w:rsidRDefault="009361A0" w:rsidP="00703E21">
      <w:pPr>
        <w:pStyle w:val="a3"/>
        <w:wordWrap/>
        <w:spacing w:line="240" w:lineRule="auto"/>
        <w:rPr>
          <w:rFonts w:ascii="Arial" w:eastAsiaTheme="majorHAnsi" w:hAnsi="Arial" w:cs="Arial"/>
          <w:sz w:val="28"/>
          <w:szCs w:val="22"/>
        </w:rPr>
      </w:pPr>
    </w:p>
    <w:p w14:paraId="0FEE4FFE" w14:textId="62744FA9"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Prior to the forum, officials from Gyeongsangbuk-do visited the Administrative Bureau of the Qianhai (</w:t>
      </w:r>
      <w:r w:rsidRPr="00B5734A">
        <w:rPr>
          <w:rFonts w:ascii="Arial" w:eastAsiaTheme="majorHAnsi" w:hAnsi="Arial" w:cs="Arial"/>
          <w:sz w:val="28"/>
          <w:szCs w:val="22"/>
        </w:rPr>
        <w:t>前海</w:t>
      </w:r>
      <w:r w:rsidRPr="00B5734A">
        <w:rPr>
          <w:rFonts w:ascii="Arial" w:eastAsiaTheme="majorHAnsi" w:hAnsi="Arial" w:cs="Arial"/>
          <w:sz w:val="28"/>
          <w:szCs w:val="22"/>
        </w:rPr>
        <w:t>) Modern Service Industry Cooperation Zone—a national-level reform and opening-up project championed directly by China's President—to discuss cooperation in finance, smart logistics, and AI.</w:t>
      </w:r>
    </w:p>
    <w:p w14:paraId="0FEE4FFF" w14:textId="77777777" w:rsidR="009361A0" w:rsidRPr="00B5734A" w:rsidRDefault="009361A0" w:rsidP="00703E21">
      <w:pPr>
        <w:pStyle w:val="a3"/>
        <w:wordWrap/>
        <w:spacing w:line="240" w:lineRule="auto"/>
        <w:rPr>
          <w:rFonts w:ascii="Arial" w:eastAsiaTheme="majorHAnsi" w:hAnsi="Arial" w:cs="Arial"/>
          <w:sz w:val="28"/>
          <w:szCs w:val="22"/>
        </w:rPr>
      </w:pPr>
    </w:p>
    <w:p w14:paraId="0FEE5000" w14:textId="59EE3C77"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In the main forum that followed, sessions were held to introduce the logistics infrastructure associated with the construction of the Daegu-Gyeongbuk Integrated New Airport and the advanced strategic industries in Pohang, Gyeongju, and Gumi. Company introductions and investment consultations continued with ISON Co., Ltd., a Pohang-based ICT-driven video intelligence solution drone company; Neuromeka Co., Ltd., an industrial robotics company; SEA Mechanics Co., Ltd., a Gumi-based electric vehicle and automot</w:t>
      </w:r>
      <w:r w:rsidRPr="00B5734A">
        <w:rPr>
          <w:rFonts w:ascii="Arial" w:eastAsiaTheme="majorHAnsi" w:hAnsi="Arial" w:cs="Arial"/>
          <w:sz w:val="28"/>
          <w:szCs w:val="22"/>
        </w:rPr>
        <w:t>ive battery parts company; and UWBTECH Co., Ltd., a Gimcheon-based high-frequency power amplifier company for telecommunications—drawing strong interest from the Chinese business delegations. Shenzhen officials also presented the city's industrial ecosystem, providing an opportunity for both regions to gain a mutual understanding of each other's investment environments and to discuss follow-up cooperation measures.</w:t>
      </w:r>
    </w:p>
    <w:p w14:paraId="0FEE5001" w14:textId="77777777" w:rsidR="009361A0" w:rsidRPr="00B5734A" w:rsidRDefault="009361A0" w:rsidP="00703E21">
      <w:pPr>
        <w:pStyle w:val="a3"/>
        <w:wordWrap/>
        <w:spacing w:line="240" w:lineRule="auto"/>
        <w:rPr>
          <w:rFonts w:ascii="Arial" w:eastAsiaTheme="majorHAnsi" w:hAnsi="Arial" w:cs="Arial"/>
          <w:sz w:val="28"/>
          <w:szCs w:val="22"/>
        </w:rPr>
      </w:pPr>
    </w:p>
    <w:p w14:paraId="0FEE5002" w14:textId="77777777" w:rsidR="009361A0" w:rsidRPr="00B5734A" w:rsidRDefault="003A2FDB" w:rsidP="00703E21">
      <w:pPr>
        <w:pStyle w:val="a3"/>
        <w:wordWrap/>
        <w:spacing w:line="240" w:lineRule="auto"/>
        <w:rPr>
          <w:rFonts w:ascii="Arial" w:eastAsiaTheme="majorHAnsi" w:hAnsi="Arial" w:cs="Arial"/>
          <w:sz w:val="18"/>
          <w:szCs w:val="22"/>
        </w:rPr>
      </w:pPr>
      <w:r w:rsidRPr="00B5734A">
        <w:rPr>
          <w:rFonts w:ascii="Arial" w:eastAsiaTheme="majorHAnsi" w:hAnsi="Arial" w:cs="Arial"/>
          <w:sz w:val="28"/>
          <w:szCs w:val="22"/>
        </w:rPr>
        <w:t xml:space="preserve"> ■ Realizing a Global Gyeongbuk That Grows Together with the World</w:t>
      </w:r>
    </w:p>
    <w:p w14:paraId="0FEE5003" w14:textId="77777777" w:rsidR="009361A0" w:rsidRPr="00B5734A" w:rsidRDefault="009361A0" w:rsidP="00703E21">
      <w:pPr>
        <w:pStyle w:val="a3"/>
        <w:wordWrap/>
        <w:spacing w:line="240" w:lineRule="auto"/>
        <w:rPr>
          <w:rFonts w:ascii="Arial" w:eastAsiaTheme="majorHAnsi" w:hAnsi="Arial" w:cs="Arial"/>
          <w:sz w:val="28"/>
          <w:szCs w:val="22"/>
        </w:rPr>
      </w:pPr>
    </w:p>
    <w:p w14:paraId="0FEE5004" w14:textId="4D0DC4F4"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 xml:space="preserve">The most notable fruit of this investment promotion campaign was the inter-company cooperation that began at the earlier "Korea-China Industrial </w:t>
      </w:r>
      <w:r w:rsidRPr="00B5734A">
        <w:rPr>
          <w:rFonts w:ascii="Arial" w:eastAsiaTheme="majorHAnsi" w:hAnsi="Arial" w:cs="Arial"/>
          <w:sz w:val="28"/>
          <w:szCs w:val="22"/>
        </w:rPr>
        <w:lastRenderedPageBreak/>
        <w:t>Cooperation Forum and China Investment Briefing" in Ningbo. ISON Co.,Ltd., a Pohang-based drone company specializing in video intelligence solutions, and Anhui Tianke Zhijian Technology Co., Ltd. (</w:t>
      </w:r>
      <w:r w:rsidRPr="00B5734A">
        <w:rPr>
          <w:rFonts w:ascii="Arial" w:eastAsiaTheme="majorHAnsi" w:hAnsi="Arial" w:cs="Arial"/>
          <w:sz w:val="28"/>
          <w:szCs w:val="22"/>
        </w:rPr>
        <w:t>安徽天科智</w:t>
      </w:r>
      <w:r w:rsidRPr="00B5734A">
        <w:rPr>
          <w:rFonts w:ascii="Arial" w:eastAsia="Microsoft JhengHei" w:hAnsi="Arial" w:cs="Arial"/>
          <w:sz w:val="28"/>
          <w:szCs w:val="22"/>
        </w:rPr>
        <w:t>戬</w:t>
      </w:r>
      <w:r w:rsidRPr="00B5734A">
        <w:rPr>
          <w:rFonts w:ascii="Arial" w:eastAsia="맑은 고딕" w:hAnsi="Arial" w:cs="Arial"/>
          <w:sz w:val="28"/>
          <w:szCs w:val="22"/>
        </w:rPr>
        <w:t>科技有</w:t>
      </w:r>
      <w:r w:rsidRPr="00B5734A">
        <w:rPr>
          <w:rFonts w:ascii="Arial" w:eastAsiaTheme="majorHAnsi" w:hAnsi="Arial" w:cs="Arial"/>
          <w:sz w:val="28"/>
          <w:szCs w:val="22"/>
        </w:rPr>
        <w:t xml:space="preserve"> </w:t>
      </w:r>
      <w:r w:rsidRPr="00B5734A">
        <w:rPr>
          <w:rFonts w:ascii="Arial" w:eastAsiaTheme="majorHAnsi" w:hAnsi="Arial" w:cs="Arial"/>
          <w:sz w:val="28"/>
          <w:szCs w:val="22"/>
        </w:rPr>
        <w:t>限公司</w:t>
      </w:r>
      <w:r w:rsidRPr="00B5734A">
        <w:rPr>
          <w:rFonts w:ascii="Arial" w:eastAsiaTheme="majorHAnsi" w:hAnsi="Arial" w:cs="Arial"/>
          <w:sz w:val="28"/>
          <w:szCs w:val="22"/>
        </w:rPr>
        <w:t xml:space="preserve">), an AI-based drone systems company, signed a strategic memorandum of understanding (MOU), paving the way for technology exchange. Kim Eung-wook, CEO of ISON Co., Ltd., expressed his deep gratitude, saying, "It was thanks to the full support and attention of Gyeongsangbuk-do Province and the City of </w:t>
      </w:r>
      <w:r w:rsidRPr="00B5734A">
        <w:rPr>
          <w:rFonts w:ascii="Arial" w:eastAsiaTheme="majorHAnsi" w:hAnsi="Arial" w:cs="Arial"/>
          <w:sz w:val="28"/>
          <w:szCs w:val="22"/>
        </w:rPr>
        <w:t>Pohang that we were able to forge such a global partnership."</w:t>
      </w:r>
    </w:p>
    <w:p w14:paraId="0FEE5005" w14:textId="77777777" w:rsidR="009361A0" w:rsidRPr="00B5734A" w:rsidRDefault="009361A0" w:rsidP="00703E21">
      <w:pPr>
        <w:pStyle w:val="a3"/>
        <w:wordWrap/>
        <w:spacing w:line="240" w:lineRule="auto"/>
        <w:rPr>
          <w:rFonts w:ascii="Arial" w:eastAsiaTheme="majorHAnsi" w:hAnsi="Arial" w:cs="Arial"/>
          <w:sz w:val="28"/>
          <w:szCs w:val="22"/>
        </w:rPr>
      </w:pPr>
    </w:p>
    <w:p w14:paraId="0FEE5006" w14:textId="79A55F64"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Following this all-out investment promotion campaign linking the results in Shanghai, Ningbo, and Shenzhen, Gyeongsangbuk-do Province plans to continue its investment promotion activities in China without pause in June. The next destinations are inland and northern Chinese cities, including Chongqing, Qingdao, and Beijing, where the province will continue to showcase tailored cooperative models that align each city's industrial characteristics with Gyeongsangbuk-do's strategic industries.</w:t>
      </w:r>
    </w:p>
    <w:p w14:paraId="0FEE5007" w14:textId="071EB3D1" w:rsidR="009361A0" w:rsidRPr="00B5734A" w:rsidRDefault="003A2FDB" w:rsidP="00735710">
      <w:pPr>
        <w:pStyle w:val="a3"/>
        <w:wordWrap/>
        <w:spacing w:line="240" w:lineRule="auto"/>
        <w:ind w:firstLineChars="100" w:firstLine="280"/>
        <w:rPr>
          <w:rFonts w:ascii="Arial" w:eastAsiaTheme="majorHAnsi" w:hAnsi="Arial" w:cs="Arial"/>
          <w:sz w:val="18"/>
          <w:szCs w:val="22"/>
        </w:rPr>
      </w:pPr>
      <w:r w:rsidRPr="00B5734A">
        <w:rPr>
          <w:rFonts w:ascii="Arial" w:eastAsiaTheme="majorHAnsi" w:hAnsi="Arial" w:cs="Arial"/>
          <w:sz w:val="28"/>
          <w:szCs w:val="22"/>
        </w:rPr>
        <w:t>Yang Geum-hee, Vice Governor for Economic Affairs of Gyeongsangbuk-do Province, emphasized, "The Post-APEC Forum in Shenzhen has become an important turning point as the province leaps forward as a hub of global economic cooperation." She added, "Building on the achievements in Shanghai and Ningbo, we will continue to target major hub cities in China in June and, without fail, make ‘Gyeongbuk a global player, growing together with the world.'"</w:t>
      </w:r>
    </w:p>
    <w:p w14:paraId="0FEE5008" w14:textId="77777777" w:rsidR="009361A0" w:rsidRPr="00B5734A" w:rsidRDefault="009361A0" w:rsidP="00703E21">
      <w:pPr>
        <w:pStyle w:val="a3"/>
        <w:wordWrap/>
        <w:spacing w:line="240" w:lineRule="auto"/>
        <w:ind w:left="200" w:right="40" w:firstLine="40"/>
        <w:jc w:val="left"/>
        <w:rPr>
          <w:rFonts w:ascii="Arial" w:eastAsiaTheme="majorHAnsi" w:hAnsi="Arial" w:cs="Arial"/>
          <w:sz w:val="4"/>
          <w:szCs w:val="22"/>
        </w:rPr>
      </w:pPr>
    </w:p>
    <w:sectPr w:rsidR="009361A0" w:rsidRPr="00B5734A">
      <w:endnotePr>
        <w:numFmt w:val="decimal"/>
      </w:endnotePr>
      <w:pgSz w:w="11906" w:h="16838"/>
      <w:pgMar w:top="1500" w:right="1134" w:bottom="1701" w:left="1134"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29803" w14:textId="77777777" w:rsidR="003A2FDB" w:rsidRDefault="003A2FDB" w:rsidP="00703E21">
      <w:pPr>
        <w:spacing w:after="0"/>
      </w:pPr>
      <w:r>
        <w:separator/>
      </w:r>
    </w:p>
  </w:endnote>
  <w:endnote w:type="continuationSeparator" w:id="0">
    <w:p w14:paraId="05267E91" w14:textId="77777777" w:rsidR="003A2FDB" w:rsidRDefault="003A2FDB" w:rsidP="00703E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anumGothic">
    <w:charset w:val="81"/>
    <w:family w:val="auto"/>
    <w:pitch w:val="variable"/>
    <w:sig w:usb0="80000003" w:usb1="09D7FCE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auto"/>
    <w:pitch w:val="variable"/>
    <w:sig w:usb0="800002A7" w:usb1="19D77CFB" w:usb2="00000010" w:usb3="00000000" w:csb0="00080000" w:csb1="00000000"/>
  </w:font>
  <w:font w:name="한양신명조">
    <w:panose1 w:val="00000000000000000000"/>
    <w:charset w:val="81"/>
    <w:family w:val="roman"/>
    <w:notTrueType/>
    <w:pitch w:val="default"/>
  </w:font>
  <w:font w:name="산세리프">
    <w:panose1 w:val="00000000000000000000"/>
    <w:charset w:val="81"/>
    <w:family w:val="roman"/>
    <w:notTrueType/>
    <w:pitch w:val="default"/>
  </w:font>
  <w:font w:name="HY중고딕">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Arial-BoldMT">
    <w:panose1 w:val="00000000000000000000"/>
    <w:charset w:val="00"/>
    <w:family w:val="roman"/>
    <w:notTrueType/>
    <w:pitch w:val="default"/>
  </w:font>
  <w:font w:name="굴림체">
    <w:panose1 w:val="020B0609000101010101"/>
    <w:charset w:val="81"/>
    <w:family w:val="modern"/>
    <w:pitch w:val="fixed"/>
    <w:sig w:usb0="B00002AF" w:usb1="69D77CFB" w:usb2="00000030" w:usb3="00000000" w:csb0="0008009F" w:csb1="00000000"/>
  </w:font>
  <w:font w:name="Microsoft JhengHe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816D6" w14:textId="77777777" w:rsidR="003A2FDB" w:rsidRDefault="003A2FDB" w:rsidP="00703E21">
      <w:pPr>
        <w:spacing w:after="0"/>
      </w:pPr>
      <w:r>
        <w:separator/>
      </w:r>
    </w:p>
  </w:footnote>
  <w:footnote w:type="continuationSeparator" w:id="0">
    <w:p w14:paraId="70B6DC63" w14:textId="77777777" w:rsidR="003A2FDB" w:rsidRDefault="003A2FDB" w:rsidP="00703E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F0FB4"/>
    <w:multiLevelType w:val="multilevel"/>
    <w:tmpl w:val="19C64884"/>
    <w:lvl w:ilvl="0">
      <w:start w:val="1"/>
      <w:numFmt w:val="decimal"/>
      <w:suff w:val="space"/>
      <w:lvlText w:val="%1."/>
      <w:lvlJc w:val="left"/>
    </w:lvl>
    <w:lvl w:ilvl="1">
      <w:start w:val="1"/>
      <w:numFmt w:val="decimal"/>
      <w:suff w:val="space"/>
      <w:lvlText w:val="%1.%2."/>
      <w:lvlJc w:val="left"/>
    </w:lvl>
    <w:lvl w:ilvl="2">
      <w:start w:val="1"/>
      <w:numFmt w:val="decimal"/>
      <w:pStyle w:val="3"/>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1" w15:restartNumberingAfterBreak="0">
    <w:nsid w:val="381B29DA"/>
    <w:multiLevelType w:val="multilevel"/>
    <w:tmpl w:val="A35C8950"/>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pStyle w:val="4"/>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2" w15:restartNumberingAfterBreak="0">
    <w:nsid w:val="38DA402B"/>
    <w:multiLevelType w:val="multilevel"/>
    <w:tmpl w:val="EF8C9434"/>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pStyle w:val="5"/>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3" w15:restartNumberingAfterBreak="0">
    <w:nsid w:val="3D1215C0"/>
    <w:multiLevelType w:val="multilevel"/>
    <w:tmpl w:val="1B20FC60"/>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pStyle w:val="7"/>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4" w15:restartNumberingAfterBreak="0">
    <w:nsid w:val="44786DCF"/>
    <w:multiLevelType w:val="multilevel"/>
    <w:tmpl w:val="B652E506"/>
    <w:lvl w:ilvl="0">
      <w:start w:val="1"/>
      <w:numFmt w:val="decimal"/>
      <w:pStyle w:val="1"/>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5" w15:restartNumberingAfterBreak="0">
    <w:nsid w:val="6E2A0247"/>
    <w:multiLevelType w:val="multilevel"/>
    <w:tmpl w:val="21365D76"/>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pStyle w:val="6"/>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6" w15:restartNumberingAfterBreak="0">
    <w:nsid w:val="6E5C05E2"/>
    <w:multiLevelType w:val="multilevel"/>
    <w:tmpl w:val="A0E4FB36"/>
    <w:lvl w:ilvl="0">
      <w:start w:val="1"/>
      <w:numFmt w:val="decimal"/>
      <w:suff w:val="space"/>
      <w:lvlText w:val="%1."/>
      <w:lvlJc w:val="left"/>
    </w:lvl>
    <w:lvl w:ilvl="1">
      <w:start w:val="1"/>
      <w:numFmt w:val="decimal"/>
      <w:pStyle w:val="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num w:numId="1" w16cid:durableId="602684826">
    <w:abstractNumId w:val="4"/>
  </w:num>
  <w:num w:numId="2" w16cid:durableId="1544363243">
    <w:abstractNumId w:val="6"/>
  </w:num>
  <w:num w:numId="3" w16cid:durableId="734351578">
    <w:abstractNumId w:val="0"/>
  </w:num>
  <w:num w:numId="4" w16cid:durableId="1802459511">
    <w:abstractNumId w:val="1"/>
  </w:num>
  <w:num w:numId="5" w16cid:durableId="1070536738">
    <w:abstractNumId w:val="2"/>
  </w:num>
  <w:num w:numId="6" w16cid:durableId="338460623">
    <w:abstractNumId w:val="5"/>
  </w:num>
  <w:num w:numId="7" w16cid:durableId="5046343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1A0"/>
    <w:rsid w:val="003A2FDB"/>
    <w:rsid w:val="006E3CD0"/>
    <w:rsid w:val="00703E21"/>
    <w:rsid w:val="00735710"/>
    <w:rsid w:val="0079107F"/>
    <w:rsid w:val="007D6429"/>
    <w:rsid w:val="009361A0"/>
    <w:rsid w:val="00B5734A"/>
    <w:rsid w:val="00B872EF"/>
    <w:rsid w:val="00F826F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E4FD2"/>
  <w15:docId w15:val="{598D78AA-6142-440E-9444-806D3C94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NanumGothic" w:eastAsia="NanumGothic"/>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NanumGothic" w:eastAsia="NanumGothic"/>
      <w:color w:val="00000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NanumGothic" w:eastAsia="NanumGothic"/>
      <w:color w:val="00000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NanumGothic" w:eastAsia="NanumGothic"/>
      <w:b/>
      <w:color w:val="00000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NanumGothic" w:eastAsia="NanumGothic"/>
      <w:color w:val="00000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NanumGothic" w:eastAsia="NanumGothic"/>
      <w:b/>
      <w:color w:val="00000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NanumGothic" w:eastAsia="NanumGothic"/>
      <w:color w:val="00000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NanumGothic" w:eastAsia="NanumGothic"/>
      <w:color w:val="00000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NanumGothic" w:eastAsia="NanumGothic"/>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NanumGothic" w:eastAsia="NanumGothic"/>
      <w:color w:val="00000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NanumGothic" w:eastAsia="NanumGothic"/>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NanumGothic" w:eastAsia="NanumGothic"/>
      <w:color w:val="000000"/>
      <w:sz w:val="24"/>
    </w:rPr>
  </w:style>
  <w:style w:type="character" w:styleId="a7">
    <w:name w:val="Subtle Emphasis"/>
    <w:uiPriority w:val="14"/>
    <w:rPr>
      <w:rFonts w:ascii="NanumGothic" w:eastAsia="NanumGothic"/>
      <w:i/>
      <w:color w:val="404040"/>
      <w:sz w:val="22"/>
    </w:rPr>
  </w:style>
  <w:style w:type="character" w:styleId="a8">
    <w:name w:val="Emphasis"/>
    <w:uiPriority w:val="15"/>
    <w:rPr>
      <w:rFonts w:ascii="NanumGothic" w:eastAsia="NanumGothic"/>
      <w:i/>
      <w:color w:val="000000"/>
      <w:sz w:val="22"/>
    </w:rPr>
  </w:style>
  <w:style w:type="character" w:styleId="a9">
    <w:name w:val="Intense Emphasis"/>
    <w:uiPriority w:val="16"/>
    <w:rPr>
      <w:rFonts w:ascii="NanumGothic" w:eastAsia="NanumGothic"/>
      <w:i/>
      <w:color w:val="5B9BD5"/>
      <w:sz w:val="22"/>
    </w:rPr>
  </w:style>
  <w:style w:type="character" w:styleId="aa">
    <w:name w:val="Strong"/>
    <w:uiPriority w:val="17"/>
    <w:rPr>
      <w:rFonts w:ascii="NanumGothic" w:eastAsia="NanumGothic"/>
      <w:b/>
      <w:color w:val="000000"/>
      <w:sz w:val="22"/>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NanumGothic" w:eastAsia="NanumGothic"/>
      <w:i/>
      <w:color w:val="40404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NanumGothic" w:eastAsia="NanumGothic"/>
      <w:i/>
      <w:color w:val="5B9BD5"/>
    </w:rPr>
  </w:style>
  <w:style w:type="character" w:styleId="ad">
    <w:name w:val="Subtle Reference"/>
    <w:uiPriority w:val="20"/>
    <w:rPr>
      <w:rFonts w:ascii="NanumGothic" w:eastAsia="NanumGothic"/>
      <w:color w:val="5A5A5A"/>
      <w:sz w:val="22"/>
    </w:rPr>
  </w:style>
  <w:style w:type="character" w:styleId="ae">
    <w:name w:val="Intense Reference"/>
    <w:uiPriority w:val="21"/>
    <w:rPr>
      <w:rFonts w:ascii="NanumGothic" w:eastAsia="NanumGothic"/>
      <w:b/>
      <w:color w:val="5B9BD5"/>
      <w:sz w:val="22"/>
    </w:rPr>
  </w:style>
  <w:style w:type="character" w:styleId="af">
    <w:name w:val="Book Title"/>
    <w:uiPriority w:val="22"/>
    <w:rPr>
      <w:rFonts w:ascii="NanumGothic" w:eastAsia="NanumGothic"/>
      <w:b/>
      <w:i/>
      <w:color w:val="000000"/>
      <w:sz w:val="22"/>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NanumGothic" w:eastAsia="NanumGothic"/>
      <w:color w:val="00000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NanumGothic" w:eastAsia="NanumGothic"/>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NanumGothic" w:eastAsia="NanumGothic"/>
      <w:color w:val="00000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NanumGothic" w:eastAsia="NanumGothic"/>
      <w:color w:val="00000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NanumGothic" w:eastAsia="NanumGothic"/>
      <w:color w:val="00000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NanumGothic" w:eastAsia="NanumGothic"/>
      <w:color w:val="00000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NanumGothic" w:eastAsia="NanumGothic"/>
      <w:color w:val="00000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NanumGothic" w:eastAsia="NanumGothic"/>
      <w:color w:val="00000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NanumGothic" w:eastAsia="NanumGothic"/>
      <w:color w:val="00000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NanumGothic" w:eastAsia="NanumGothic"/>
      <w:color w:val="00000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NanumGothic" w:eastAsia="NanumGothic"/>
      <w:color w:val="00000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바탕" w:eastAsia="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굴림" w:eastAsia="굴림"/>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tabs>
        <w:tab w:val="left" w:pos="0"/>
      </w:tabs>
      <w:autoSpaceDE w:val="0"/>
      <w:autoSpaceDN w:val="0"/>
      <w:spacing w:after="0" w:line="360" w:lineRule="auto"/>
      <w:jc w:val="both"/>
      <w:textAlignment w:val="baseline"/>
    </w:pPr>
    <w:rPr>
      <w:rFonts w:ascii="굴림" w:eastAsia="굴림"/>
      <w:color w:val="000000"/>
      <w:spacing w:val="-2"/>
      <w:w w:val="98"/>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바탕" w:eastAsia="바탕"/>
      <w:color w:val="000000"/>
      <w:spacing w:val="-4"/>
      <w:w w:val="95"/>
      <w:sz w:val="18"/>
    </w:rPr>
  </w:style>
  <w:style w:type="paragraph" w:customStyle="1" w:styleId="af5">
    <w:name w:val="동그라미"/>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20" w:line="384" w:lineRule="auto"/>
      <w:ind w:left="622" w:hanging="622"/>
      <w:jc w:val="both"/>
      <w:textAlignment w:val="baseline"/>
    </w:pPr>
    <w:rPr>
      <w:rFonts w:ascii="휴먼명조" w:eastAsia="휴먼명조"/>
      <w:color w:val="000000"/>
      <w:sz w:val="32"/>
    </w:rPr>
  </w:style>
  <w:style w:type="paragraph" w:customStyle="1" w:styleId="0005">
    <w:name w:val="000:5"/>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408" w:lineRule="auto"/>
      <w:ind w:left="400"/>
      <w:jc w:val="both"/>
      <w:textAlignment w:val="baseline"/>
    </w:pPr>
    <w:rPr>
      <w:rFonts w:ascii="한양신명조" w:eastAsia="한양신명조"/>
      <w:color w:val="000000"/>
      <w:w w:val="95"/>
      <w:sz w:val="26"/>
    </w:rPr>
  </w:style>
  <w:style w:type="paragraph" w:customStyle="1" w:styleId="172">
    <w:name w:val="17 위 2"/>
    <w:uiPriority w:val="47"/>
    <w:pPr>
      <w:widowControl w:val="0"/>
      <w:pBdr>
        <w:top w:val="none" w:sz="2" w:space="0" w:color="FFFFFF"/>
        <w:left w:val="none" w:sz="2" w:space="0" w:color="FFFFFF"/>
        <w:bottom w:val="none" w:sz="2" w:space="0" w:color="FFFFFF"/>
        <w:right w:val="none" w:sz="2" w:space="0" w:color="FFFFFF"/>
      </w:pBdr>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s>
      <w:wordWrap w:val="0"/>
      <w:autoSpaceDE w:val="0"/>
      <w:autoSpaceDN w:val="0"/>
      <w:spacing w:before="113" w:after="0" w:line="384" w:lineRule="auto"/>
      <w:jc w:val="both"/>
      <w:textAlignment w:val="baseline"/>
    </w:pPr>
    <w:rPr>
      <w:rFonts w:ascii="한양신명조" w:eastAsia="한양신명조"/>
      <w:color w:val="000000"/>
      <w:w w:val="95"/>
      <w:sz w:val="34"/>
    </w:rPr>
  </w:style>
  <w:style w:type="paragraph" w:customStyle="1" w:styleId="af6">
    <w:name w:val="선그리기"/>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산세리프" w:eastAsia="한양신명조"/>
      <w:color w:val="000000"/>
      <w:sz w:val="20"/>
    </w:rPr>
  </w:style>
  <w:style w:type="paragraph" w:customStyle="1" w:styleId="af7">
    <w:name w:val="표내용"/>
    <w:uiPriority w:val="49"/>
    <w:pPr>
      <w:widowControl w:val="0"/>
      <w:pBdr>
        <w:top w:val="none" w:sz="2" w:space="0" w:color="FFFFFF"/>
        <w:left w:val="none" w:sz="2" w:space="0" w:color="FFFFFF"/>
        <w:bottom w:val="none" w:sz="2" w:space="0" w:color="FFFFFF"/>
        <w:right w:val="none" w:sz="2" w:space="0" w:color="FFFFFF"/>
      </w:pBdr>
      <w:autoSpaceDE w:val="0"/>
      <w:autoSpaceDN w:val="0"/>
      <w:spacing w:after="0" w:line="312" w:lineRule="auto"/>
      <w:jc w:val="center"/>
      <w:textAlignment w:val="baseline"/>
    </w:pPr>
    <w:rPr>
      <w:rFonts w:ascii="HY중고딕" w:eastAsia="HY중고딕"/>
      <w:color w:val="000000"/>
      <w:w w:val="95"/>
      <w:sz w:val="20"/>
    </w:rPr>
  </w:style>
  <w:style w:type="paragraph" w:customStyle="1" w:styleId="td">
    <w:name w:val="td"/>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돋움" w:eastAsia="돋움"/>
      <w:color w:val="000000"/>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굴림" w:eastAsia="굴림"/>
      <w:color w:val="000000"/>
      <w:sz w:val="20"/>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000000"/>
      <w:sz w:val="20"/>
    </w:rPr>
  </w:style>
  <w:style w:type="paragraph" w:customStyle="1" w:styleId="xl67">
    <w:name w:val="xl67"/>
    <w:uiPriority w:val="53"/>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맑은 고딕" w:eastAsia="맑은 고딕"/>
      <w:color w:val="000000"/>
      <w:sz w:val="20"/>
    </w:rPr>
  </w:style>
  <w:style w:type="paragraph" w:customStyle="1" w:styleId="xl68">
    <w:name w:val="xl68"/>
    <w:uiPriority w:val="54"/>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69">
    <w:name w:val="xl69"/>
    <w:uiPriority w:val="55"/>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1">
    <w:name w:val="xl71"/>
    <w:uiPriority w:val="56"/>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4">
    <w:name w:val="xl74"/>
    <w:uiPriority w:val="5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굴림체" w:eastAsia="굴림체"/>
      <w:color w:val="000000"/>
      <w:sz w:val="28"/>
    </w:rPr>
  </w:style>
  <w:style w:type="paragraph" w:customStyle="1" w:styleId="xl75">
    <w:name w:val="xl75"/>
    <w:uiPriority w:val="58"/>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6">
    <w:name w:val="xl76"/>
    <w:uiPriority w:val="59"/>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7">
    <w:name w:val="xl77"/>
    <w:uiPriority w:val="60"/>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8">
    <w:name w:val="xl78"/>
    <w:uiPriority w:val="61"/>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FF0000"/>
      <w:sz w:val="18"/>
    </w:rPr>
  </w:style>
  <w:style w:type="paragraph" w:customStyle="1" w:styleId="xl79">
    <w:name w:val="xl79"/>
    <w:uiPriority w:val="6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80">
    <w:name w:val="xl80"/>
    <w:uiPriority w:val="63"/>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4472C4"/>
      <w:sz w:val="18"/>
    </w:rPr>
  </w:style>
  <w:style w:type="paragraph" w:customStyle="1" w:styleId="100">
    <w:name w:val="본문(중고딕10)"/>
    <w:uiPriority w:val="64"/>
    <w:pPr>
      <w:widowControl w:val="0"/>
      <w:pBdr>
        <w:top w:val="none" w:sz="2" w:space="0" w:color="FFFFFF"/>
        <w:left w:val="none" w:sz="2" w:space="0" w:color="FFFFFF"/>
        <w:bottom w:val="none" w:sz="2" w:space="0" w:color="FFFFFF"/>
        <w:right w:val="none" w:sz="2" w:space="0" w:color="FFFFFF"/>
      </w:pBdr>
      <w:wordWrap w:val="0"/>
      <w:autoSpaceDE w:val="0"/>
      <w:autoSpaceDN w:val="0"/>
      <w:spacing w:after="113" w:line="360" w:lineRule="auto"/>
      <w:jc w:val="both"/>
      <w:textAlignment w:val="baseline"/>
    </w:pPr>
    <w:rPr>
      <w:rFonts w:ascii="한양신명조" w:eastAsia="한양신명조"/>
      <w:color w:val="000000"/>
      <w:sz w:val="30"/>
    </w:rPr>
  </w:style>
  <w:style w:type="paragraph" w:styleId="af8">
    <w:name w:val="header"/>
    <w:basedOn w:val="a"/>
    <w:link w:val="Char"/>
    <w:uiPriority w:val="99"/>
    <w:unhideWhenUsed/>
    <w:rsid w:val="00703E21"/>
    <w:pPr>
      <w:tabs>
        <w:tab w:val="center" w:pos="4513"/>
        <w:tab w:val="right" w:pos="9026"/>
      </w:tabs>
      <w:snapToGrid w:val="0"/>
    </w:pPr>
  </w:style>
  <w:style w:type="character" w:customStyle="1" w:styleId="Char">
    <w:name w:val="머리글 Char"/>
    <w:basedOn w:val="a0"/>
    <w:link w:val="af8"/>
    <w:uiPriority w:val="99"/>
    <w:rsid w:val="00703E21"/>
  </w:style>
  <w:style w:type="paragraph" w:styleId="af9">
    <w:name w:val="footer"/>
    <w:basedOn w:val="a"/>
    <w:link w:val="Char0"/>
    <w:uiPriority w:val="99"/>
    <w:unhideWhenUsed/>
    <w:rsid w:val="00703E21"/>
    <w:pPr>
      <w:tabs>
        <w:tab w:val="center" w:pos="4513"/>
        <w:tab w:val="right" w:pos="9026"/>
      </w:tabs>
      <w:snapToGrid w:val="0"/>
    </w:pPr>
  </w:style>
  <w:style w:type="character" w:customStyle="1" w:styleId="Char0">
    <w:name w:val="바닥글 Char"/>
    <w:basedOn w:val="a0"/>
    <w:link w:val="af9"/>
    <w:uiPriority w:val="99"/>
    <w:rsid w:val="00703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802</Words>
  <Characters>5055</Characters>
  <Application>Microsoft Office Word</Application>
  <DocSecurity>0</DocSecurity>
  <Lines>148</Lines>
  <Paragraphs>35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LEXCODE</cp:lastModifiedBy>
  <cp:revision>6</cp:revision>
  <dcterms:created xsi:type="dcterms:W3CDTF">2013-05-29T07:53:00Z</dcterms:created>
  <dcterms:modified xsi:type="dcterms:W3CDTF">2026-04-22T10:02:00Z</dcterms:modified>
  <cp:version>0501.0001.01</cp:version>
</cp:coreProperties>
</file>